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t xml:space="preserve"> </w:t>
      </w:r>
      <w: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（电子招投标）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（货物类项目，非专门面向中小微企业）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项目编号：JSZC-321181-JZCG-G2026-0004</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SimSun" w:hAnsi="SimSun" w:eastAsia="SimSun" w:cs="SimSun"/>
          <w:color w:val="000000"/>
          <w:sz w:val="36"/>
        </w:rPr>
        <w:t xml:space="preserve">：</w:t>
      </w:r>
      <w:r>
        <w:rPr>
          <w:rFonts w:ascii="SimSun" w:hAnsi="SimSun" w:eastAsia="SimSun" w:cs="SimSun"/>
          <w:b/>
          <w:color w:val="000000"/>
          <w:sz w:val="36"/>
        </w:rPr>
        <w:t xml:space="preserve">丹阳市公物仓2026年电梯更新改造项目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丹阳市政府采购中心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2026年4月10日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17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17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提 示 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为打造公开公平公正的政府采购营商环境，规范政府采购活动，请贵单位仔细阅读下列条款：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一、基本要求：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1.应当遵循公开、公平、公正和诚实信用原则；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2.不得有串通投标、提供虚假材料等违法违规行为；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3.不得捏造事实、提供虚假材料或者以非法手段取得证明材料进行投诉。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二、经查实有下列行为的，将依法依规严肃处理: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(1)提供虚假材料谋取中标、成交的;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(2)采取不正当手段诋毁、排挤其他供应商的;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(3)与采购人、其他供应商或者采购代理机构恶意串通的;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(4)向采购人、采购代理机构行贿或者提供其他不正当利益的;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(5)在招标采购过程中与采购人进行协商谈判的;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(6)拒绝有关部门监督检查或者提供虚假情况的。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2．在“信用中国”网、中国政府采购网等相关网站有失信记录按规定被依法限制参与政府采购活动的，在规定期限内不得参加本市范围内的政府采购活动。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招标文件目录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第一部分投标邀请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第二部分投标人须知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第三部分拟签订的合同文本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第四部分采购需求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第五部分评标办法和标准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第六部分投标文件（格式）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第一部分投标邀请</w:t>
      </w:r>
      <w:r/>
    </w:p>
    <w:p>
      <w:pPr>
        <w:ind w:left="0" w:right="0" w:firstLine="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36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丹阳市公物仓2026年电梯更新改造项目</w:t>
      </w:r>
      <w:r>
        <w:rPr>
          <w:rFonts w:ascii="SimSun" w:hAnsi="SimSun" w:eastAsia="SimSun" w:cs="SimSun"/>
          <w:color w:val="000000"/>
          <w:sz w:val="24"/>
        </w:rPr>
        <w:t xml:space="preserve">的潜在投标人应在“苏采云”电子交易平台（网址：http://jszfcg.jsczt.cn/）获取招标文件，并于</w:t>
      </w:r>
      <w:r>
        <w:rPr>
          <w:rFonts w:ascii="SimSun" w:hAnsi="SimSun" w:eastAsia="SimSun" w:cs="SimSun"/>
          <w:color w:val="000000"/>
          <w:sz w:val="24"/>
          <w:u w:val="single"/>
        </w:rPr>
        <w:t xml:space="preserve">2026年4月30日9点30分（北京时间）前按要求递交投标文件。</w:t>
      </w:r>
      <w:r/>
    </w:p>
    <w:p>
      <w:pPr>
        <w:ind w:left="0" w:right="0" w:firstLine="48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项目编号：JSZC-321181-JZCG-G2026-0004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项目名称：丹阳市公物仓2026年电梯更新改造项目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预算金额：180万元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最高限价：180万元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采购需求：详细内容及要求见采购需求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合同履行期限：详细内容及要求见采购需求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本项目是否接受联合体投标：不接受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1.3具有履行合同所必需的设备和专业技术能力；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1.4有依法缴纳税收和社会保障资金的良好记录；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3.1投标人如为电梯制造商，须具有《中华人民共和国特种设备制造许可证》（电梯）或《中华人民共和国特种设备生产许可证》（电梯）。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投标人如为电梯经销商或代理商，须具有《中华人民共和国特种设备安装改造维修许可证》（电梯）或《中华人民共和国特种设备生产许可证》（电梯），并同时提供所投电梯制造商的《中华人民共和国特种设备制造许可证》（电梯）或《中华人民共和国特种设备生产许可证》（电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获取时间：2026年4月10日0:00起至2026年4月17日 23:59分（北京时间）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获取地点：江苏政府采购网-苏采云电子交易平台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在线获取（“苏采云”系统用户注册--获取“CA数字证书”--CA绑定与登录--网上报名--下载招标文件，具体操作详见“苏采云”系统供应商操作指南http://www.ccgp-jiangsu.gov.cn/jiangsu/zlxz/ee/ee3a4bc5a3454aa2b0d9312230633ce9.html</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采购文件售价：免费</w:t>
      </w:r>
      <w:r/>
    </w:p>
    <w:p>
      <w:pPr>
        <w:ind w:left="0" w:right="0" w:firstLine="48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提交截止时间及开标时间：2026年4月30日9点30分（北京时间）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开标地点：“苏采云”政府采购交易系统网上</w:t>
      </w:r>
      <w:r>
        <w:rPr>
          <w:rFonts w:ascii="SimSun" w:hAnsi="SimSun" w:eastAsia="SimSun" w:cs="SimSun"/>
          <w:color w:val="000000"/>
          <w:sz w:val="22"/>
        </w:rPr>
        <w:t xml:space="preserve">开标大厅</w:t>
      </w:r>
      <w:r/>
    </w:p>
    <w:p>
      <w:pPr>
        <w:ind w:left="0" w:right="0" w:firstLine="48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通过电子交易平台进行采购，请在投标前详细阅读《“苏采云”系统供应商操作手册》（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递交截止时间后，采购代理机构将通过开标会议区发出投标文件解密的指令，投标人在各自地点按规定时间自行实施远程解密，投标人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w:t>
      </w:r>
      <w:r>
        <w:rPr>
          <w:rFonts w:ascii="SimSun" w:hAnsi="SimSun" w:eastAsia="SimSun" w:cs="SimSun"/>
          <w:color w:val="000000"/>
          <w:sz w:val="24"/>
        </w:rPr>
        <w:t xml:space="preserve">取副锁（含多把副锁）请注意正副锁的使用差别）。本项目在限定的解密时间内，只要有一家投标人解密成功，即视为网上招投标平台运行无故障。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4.因投标人自身软硬件配备不齐全或发生故障等问题而导致在交互过程中出现不稳定或中断等情况的，由投标人自身承担一切后果。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5.有关本次招标的事项若存在变动或修改，敬请及时关注江苏政府采购网的更正公告。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6.本次招标不收取投标保证金。</w:t>
      </w:r>
      <w:r/>
    </w:p>
    <w:p>
      <w:pPr>
        <w:ind w:left="0" w:right="0" w:firstLine="320"/>
        <w:jc w:val="center"/>
        <w:spacing w:before="0" w:after="0" w:line="85" w:lineRule="atLeast"/>
        <w:pBdr>
          <w:top w:val="single" w:color="000000" w:sz="6" w:space="0"/>
          <w:left w:val="none" w:color="000000" w:sz="4" w:space="0"/>
          <w:bottom w:val="none" w:color="000000" w:sz="4" w:space="0"/>
          <w:right w:val="none" w:color="000000" w:sz="4" w:space="0"/>
        </w:pBdr>
      </w:pPr>
      <w:r>
        <w:rPr>
          <w:rFonts w:ascii="SimSun" w:hAnsi="SimSun" w:eastAsia="SimSun" w:cs="SimSun"/>
          <w:color w:val="000000"/>
          <w:sz w:val="18"/>
        </w:rPr>
        <w:t xml:space="preserve">窗体底端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称：丹阳市机关事务管理中心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址：丹阳市兰陵路8号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联系人：李斌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联系方式：0511-86923866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称：丹阳市政府采购中心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址：丹阳市开发区兰陵路88号4楼404室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联系方式：0511-86906230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项目联系人：王东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话：0511-86906230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第二部分投标人须知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1"/>
        <w:gridCol w:w="1932"/>
        <w:gridCol w:w="664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本次投标报价的币种为人民币。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投标人应按招标文件所提供的各报价表格式报价。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投标人应对本项目报出最具有竞争力的价格，应包括本次招标要求提供的货物（服务）已支付或将支付的所有费用（含税费）。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最低投标报价不能作为中标的保证。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中标价即为合同签约价。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如出现报价前后不一致的，将按招标文件第五部分“评标办法和标准”第5项规定进行修正。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转包及分包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项目依法不得转包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本项目不同意分包。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同意将非主体、非关键性的工作分包。投标人应当在投标文件中载明分包承担主体，分包承担主体应当具备相应资质条件且不得再次分包。</w:t>
            </w:r>
            <w:r>
              <w:rPr>
                <w:rFonts w:ascii="SimSun" w:hAnsi="SimSun" w:eastAsia="SimSun" w:cs="SimSun"/>
                <w:color w:val="000000"/>
                <w:sz w:val="24"/>
                <w:highlight w:val="white"/>
              </w:rPr>
              <w:t xml:space="preserve">享受中小企业扶持政策获得政府采购合同的，小微企业不得将合同分包给大中型企业，中型企业不得将合同分包给大型企业。</w:t>
            </w:r>
            <w:r>
              <w:rPr>
                <w:rFonts w:ascii="SimSun" w:hAnsi="SimSun" w:eastAsia="SimSun" w:cs="SimSun"/>
                <w:color w:val="000000"/>
                <w:sz w:val="24"/>
              </w:rPr>
              <w:t xml:space="preserve">（</w:t>
            </w:r>
            <w:r>
              <w:rPr>
                <w:rFonts w:ascii="SimSun" w:hAnsi="SimSun" w:eastAsia="SimSun" w:cs="SimSun"/>
                <w:i/>
                <w:color w:val="000000"/>
                <w:sz w:val="24"/>
                <w:u w:val="single"/>
              </w:rPr>
              <w:t xml:space="preserve">提醒：采购人允许采用分包方式履行合同的，应当在采购文件中明确可以分包履行的具体内容、金额或者比例，分包承担主体所需要具有的资质。</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不统一组织,如需现场踏勘，可自行联系采购人前往。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统一组织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地点：丹阳市兰陵路8号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联系人：李斌  联系方式：0511-86923866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有，本项目演示使用录播上传形式，各投标人自行将录播内容上传至“苏采云”系统的演示视频模块。操作指南详见http://www.ccgp-jiangsu.gov.cn/jiangsu/zlxz/ee/ee3a4bc5a3454aa2b0d9312230633ce9.html。</w:t>
            </w:r>
            <w:r>
              <w:rPr>
                <w:rFonts w:ascii="SimSun" w:hAnsi="SimSun" w:eastAsia="SimSun" w:cs="SimSun"/>
                <w:b/>
                <w:color w:val="000000"/>
                <w:sz w:val="24"/>
                <w:u w:val="single"/>
              </w:rPr>
              <w:t xml:space="preserve">视频以压缩形式进行上传，单个视频上限50M，整体上限300M。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不要求提供。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要求提供（</w:t>
            </w:r>
            <w:r>
              <w:rPr>
                <w:rFonts w:ascii="SimSun" w:hAnsi="SimSun" w:eastAsia="SimSun" w:cs="SimSun"/>
                <w:i/>
                <w:color w:val="000000"/>
                <w:sz w:val="24"/>
                <w:u w:val="single"/>
              </w:rPr>
              <w:t xml:space="preserve">提醒：除仅凭书面方式不能准确描述采购需求或者需要对样品进行主观判断以确认是否满足采购需求等特殊情况外，不得要求投标人提供样品。</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（1）样品：无；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（2）样品制作的标准和要求：无；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（3）样品的评审方法以及评审标准：详见评标办法；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（4）是否需要随样品提交检测报告：</w:t>
            </w:r>
            <w:r>
              <w:rPr>
                <w:rFonts w:ascii="SimSun" w:hAnsi="SimSun" w:eastAsia="SimSun" w:cs="SimSun"/>
                <w:color w:val="000000"/>
                <w:spacing w:val="1"/>
                <w:sz w:val="24"/>
              </w:rPr>
              <w:t xml:space="preserve">□</w:t>
            </w:r>
            <w:r>
              <w:rPr>
                <w:rFonts w:ascii="SimSun" w:hAnsi="SimSun" w:eastAsia="SimSun" w:cs="SimSun"/>
                <w:color w:val="000000"/>
                <w:sz w:val="24"/>
              </w:rPr>
              <w:t xml:space="preserve">否；</w:t>
            </w:r>
            <w:r>
              <w:rPr>
                <w:rFonts w:ascii="SimSun" w:hAnsi="SimSun" w:eastAsia="SimSun" w:cs="SimSun"/>
                <w:color w:val="000000"/>
                <w:spacing w:val="-1"/>
                <w:sz w:val="24"/>
              </w:rPr>
              <w:t xml:space="preserve">□</w:t>
            </w:r>
            <w:r>
              <w:rPr>
                <w:rFonts w:ascii="SimSun" w:hAnsi="SimSun" w:eastAsia="SimSun" w:cs="SimSun"/>
                <w:color w:val="000000"/>
                <w:sz w:val="24"/>
              </w:rPr>
              <w:t xml:space="preserve">是，检测机构的要求：无；检测内容：无。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（5）提供样品的时间：无。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是否允许采购进口产品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本项目不允许采购进口产品。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项目属性与核心产品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货物类。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服务类。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本项目核心产品为：客梯。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（1）标的：客梯，属于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节能产品、环境标志产品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中小企业信用融资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w:t>
            </w:r>
            <w:r>
              <w:rPr>
                <w:rFonts w:ascii="SimSun" w:hAnsi="SimSun" w:eastAsia="SimSun" w:cs="SimSun"/>
                <w:color w:val="000000"/>
                <w:sz w:val="24"/>
              </w:rPr>
              <w:t xml:space="preserve">.cn/jiangsu/paying.html咨询电话：丹阳市财政局政府采购科0511-86521852。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本招标文件仅适用于丹阳市公物仓2026年电梯更新改造项目。</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招标文件中下列术语应解释为：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2.1“采购人”系指依法进行政府采购的国家机关、事业单位、团体组织，即：丹阳市机关事务管理中心。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2.2“投标人”系指响应招标、参加投标竞争的法人、其他组织或者自然人。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2.3“采购代理机构”系指组织本次采购活动的单位，即：丹阳市政府采购中心。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2.4“货物”亦称产品，系指投标人按招标文件要求，须向采购人提供的客梯及杂物梯等、备件、工具、说明书及使用手册。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服务”系指根据招标文件规定投标人承担的与供货有关的辅助服务，按合同规定乙方必须承担的供货安装、设备调试、技术指导、培训以及其他类似的承诺义务。服务亦包括招标文件中特别描述的其它形式的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”系指适用本项目的要求。“</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”系指不适用本项目的要求。</w:t>
      </w:r>
      <w:r/>
    </w:p>
    <w:p>
      <w:pPr>
        <w:ind w:left="0" w:right="0" w:firstLine="602"/>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本次采购采取公开招标方式</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综合评分法。□最低评标价法。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本项目资格审查方式：</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资格后审 □资格预审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本次采购确定的中标人数量：1名</w:t>
      </w:r>
      <w:r/>
    </w:p>
    <w:p>
      <w:pPr>
        <w:ind w:left="0" w:right="0" w:firstLine="602"/>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4.2不论投标的结果如何，采购人和采购代理机构在任何情况下均无义务和责任承担上述费用。</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5.1支持中小企业发展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5.1.2在政府采购活动中，投标人提供的货物、工程或者服务符合下列情形的，享受中小企业扶持政策：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5.1.2.2在工程采购项目中，工程由中小企业承建，即工程施工单位为中小企业；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在货物采购项目中，投标人提供的货物既有中小企业制造货物，也有大型企业制造货物的，不享受中小企业扶持政策。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w:t>
      </w:r>
      <w:r>
        <w:rPr>
          <w:rFonts w:ascii="SimSun" w:hAnsi="SimSun" w:eastAsia="SimSun" w:cs="SimSun"/>
          <w:color w:val="000000"/>
          <w:sz w:val="24"/>
        </w:rPr>
        <w:t xml:space="preserve">企业[2011]300号）。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中心、戒毒管理中心（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5.1.6中小企业享受扶持政策获得政府采购合同的，小微企业不得将合同分包给大中型企业，中型企业不得将合同分包给大型企业。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5.2强制采购信息安全产品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信息安全产品指国家质检总局国家认监委《信息安全产品强制性认证目录》，并获得强制性产品认证证书的产品。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5.3.4采购人采购数据中心相关设备、运维服务，按照《绿色数据中心政府采购需求标准（试行）》实施相关采购活动。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5.5支持创新发展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5.5.1采购人优先采购被认定为重点推广应用、首台（套）重大装备、重点领域首版次软件的自主创新产品。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5.6平等对待内外资企业和符合条件的破产重整企业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5.6.1平等对待内外资企业和符合条件的破产重整企业，切实保障企业公平竞争，平等维护企业的合法利益。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6.招标文件组成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（3）拟签订的合同文本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（5）评标办法和标准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投标人获取本文件后，应认真阅读本文件中所有的事项、格式条款和规范等要求。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w:t>
      </w:r>
      <w:r>
        <w:rPr>
          <w:rFonts w:ascii="SimSun" w:hAnsi="SimSun" w:eastAsia="SimSun" w:cs="SimSun"/>
          <w:b/>
          <w:color w:val="000000"/>
          <w:sz w:val="24"/>
          <w:u w:val="single"/>
        </w:rPr>
        <w:t xml:space="preserve">除非有特殊要求，招标文件不单独提供招标标的所在地自然环境、气象条件、公用设施等情况，投标人被视为熟悉上述与签订和履行合同有关的一切情况</w:t>
      </w:r>
      <w:r>
        <w:rPr>
          <w:rFonts w:ascii="SimSun" w:hAnsi="SimSun" w:eastAsia="SimSun" w:cs="SimSun"/>
          <w:color w:val="000000"/>
          <w:sz w:val="24"/>
        </w:rPr>
        <w:t xml:space="preserve">。</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7．招标文件的澄清和修改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任何要求对招标文件进行澄清的潜在投标人，应及时联系项目联系人。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w:t>
      </w:r>
      <w:r>
        <w:rPr>
          <w:rFonts w:ascii="SimSun" w:hAnsi="SimSun" w:eastAsia="SimSun" w:cs="SimSun"/>
          <w:b/>
          <w:color w:val="000000"/>
          <w:sz w:val="24"/>
        </w:rPr>
        <w:t xml:space="preserve">按照权责相一致原则，投标人提出的对于招标文件主要商务、技术指标的相关澄清、修改要求，由采购人负责答复并视情况作出澄清或修改的决定。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ind w:left="0" w:right="0" w:firstLine="482"/>
        <w:jc w:val="both"/>
        <w:spacing w:before="0" w:after="0" w:line="85" w:lineRule="atLeast"/>
        <w:tabs>
          <w:tab w:val="left" w:pos="49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ab/>
      </w:r>
      <w:r>
        <w:rPr>
          <w:rFonts w:ascii="SimSun" w:hAnsi="SimSun" w:eastAsia="SimSun" w:cs="SimSun"/>
          <w:color w:val="000000"/>
          <w:sz w:val="24"/>
        </w:rPr>
        <w:t xml:space="preserve">7.5</w:t>
      </w:r>
      <w:r>
        <w:rPr>
          <w:rFonts w:ascii="SimSun" w:hAnsi="SimSun" w:eastAsia="SimSun" w:cs="SimSun"/>
          <w:b/>
          <w:color w:val="000000"/>
          <w:sz w:val="24"/>
        </w:rPr>
        <w:t xml:space="preserve"> 如澄清或修改公告有重新发布招标文件的，投标人应下载最新发布的招标文件制作投标文件。因投标人自身原因未能及时获取的，一切后果由投标人自行承担。</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8.编制投标文件的工具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投标人须通过江苏政府采购网提供的最新响应文件制作软件编制投标文件。下载路径：江苏政府采购网—资料下载—《江苏省政府采购交易管理系统（苏采云）供应商操作指南》</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9.投标文件语言及度量衡单位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9.2投标文件中所使用的计量单位除招标文件中另有特殊规定外，一律使用法定计量单位。</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10.投标文件的构成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投标文件分为资格部分、商务部分、技术部分和价格部分。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资格部分系指投标人提交的证明其有资格参加投标的文件。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商务部分系指投标人提交的证明其中标后有能力履行合同的文件。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技术部分系指投标人提交的能够证明投标人提供的货物（服务）符合招标文件规定的文件。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具体填写格式详见招标文件第六部分。</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11．投标文件的编制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投标人应仔细阅读招标文件，按照招标文件的要求编制投标文件。投标文件应当对招标文件提出的要求和条件作出明确响应。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w:t>
      </w:r>
      <w:r>
        <w:rPr>
          <w:rFonts w:ascii="SimSun" w:hAnsi="SimSun" w:eastAsia="SimSun" w:cs="SimSun"/>
          <w:b/>
          <w:color w:val="000000"/>
          <w:sz w:val="24"/>
        </w:rPr>
        <w:t xml:space="preserve">投标人在编制投标文件时，请按照招标文件第六部分规定的格式进行填写并提交到对应位置。系统中的投标文件格式与招标文件第六部分不一致的，以招标文件第六部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分规定的格式为准。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w:t>
      </w:r>
      <w:r>
        <w:rPr>
          <w:rFonts w:ascii="SimSun" w:hAnsi="SimSun" w:eastAsia="SimSun" w:cs="SimSun"/>
          <w:b/>
          <w:color w:val="000000"/>
          <w:sz w:val="24"/>
        </w:rPr>
        <w:t xml:space="preserve">投标人必须保证投标文件所提供的全部资料合法、真实、可靠。</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12．投标保证金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本项目不收投标保证金。</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13．投标有效期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投标有效期为：投标文件自提交投标文件截止时间之日起90天内有效。投标人一旦获取了本招标文件并参加投标，即被认为接受了投标有效期的约定。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14.投标文件的式样和签署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投标人应通过响应文件制作软件使用数字认证证书对投标文件进行合成、电子签章及加密打包。</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15．投标文件的提交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15.1.1 投标人须在招标文件规定的截止时间前，通过响应文件编制软件制作完成后，登录“苏采云”系统在规定时间内完成提交。</w:t>
      </w:r>
      <w:r>
        <w:rPr>
          <w:rFonts w:ascii="SimSun" w:hAnsi="SimSun" w:eastAsia="SimSun" w:cs="SimSun"/>
          <w:b/>
          <w:color w:val="000000"/>
          <w:sz w:val="24"/>
          <w:u w:val="single"/>
        </w:rPr>
        <w:t xml:space="preserve">时间以“苏采云”系统时间为准。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15.1.2 </w:t>
      </w:r>
      <w:r>
        <w:rPr>
          <w:rFonts w:ascii="SimSun" w:hAnsi="SimSun" w:eastAsia="SimSun" w:cs="SimSun"/>
          <w:b/>
          <w:color w:val="000000"/>
          <w:sz w:val="24"/>
          <w:u w:val="single"/>
        </w:rPr>
        <w:t xml:space="preserve">截止时间以后提交的投标文件，“苏采云”系统将拒绝接收上传的任何投标文件。投标人应充分考虑网络环境、网络带宽等风险因素。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15.1.3 </w:t>
      </w:r>
      <w:r>
        <w:rPr>
          <w:rFonts w:ascii="SimSun" w:hAnsi="SimSun" w:eastAsia="SimSun" w:cs="SimSun"/>
          <w:b/>
          <w:color w:val="000000"/>
          <w:sz w:val="24"/>
          <w:u w:val="single"/>
        </w:rPr>
        <w:t xml:space="preserve">提交投标文件时，投标人须使用制作该投标文件的同一数字认证证书进行提交操作。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15.1.4</w:t>
      </w:r>
      <w:r>
        <w:rPr>
          <w:rFonts w:ascii="SimSun" w:hAnsi="SimSun" w:eastAsia="SimSun" w:cs="SimSun"/>
          <w:b/>
          <w:color w:val="000000"/>
          <w:sz w:val="24"/>
          <w:u w:val="single"/>
        </w:rPr>
        <w:t xml:space="preserve">提交完成后至解密前，投标人不能对加密投标文件时所使用的数字认证证书进行更新、续费，否则可能引起的投标文件解密失败等相关后果由投标人自行承担。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15.1.5因不可抗力事件造成的投标文件的损坏、丢失的，采购代理机构不承担责任。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16．投标文件的补充、修改或者撤回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在提交截止时间前，投标人可以对所提交的投标文件进行补充、修改或者撤回。投标人撤回电子响应文件，则认为其不再参与本项目磋商活动。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投标人在提交截止时间前需要对投标文件进行补充、修改的，应当使用响应文件制作软件重新制作并提交。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在提交截止时间之后，投标人不得对其投标文件作任何补充、修改或撤回。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在提交截止时间至招标文件中规定的投标有效期满之间，投标人不得撤回其投标。</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五、开标及评标</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17．开标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采购代理机构将按招标文件规定的时间、地点主持开标。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投标人应当在开标前做好充分准备，使用制作该投标文件的同一数字认证证书准时参加开标。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17.3 投标人不足3家，不进入解密程序。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开标时，采购代理机构将在系统内发出解密的指令，投标人自行实施解密，限定在主持人发布解密指令后</w:t>
      </w:r>
      <w:r>
        <w:rPr>
          <w:rFonts w:ascii="SimSun" w:hAnsi="SimSun" w:eastAsia="SimSun" w:cs="SimSun"/>
          <w:color w:val="000000"/>
          <w:sz w:val="24"/>
          <w:u w:val="single"/>
        </w:rPr>
        <w:t xml:space="preserve">30</w:t>
      </w:r>
      <w:r>
        <w:rPr>
          <w:rFonts w:ascii="SimSun" w:hAnsi="SimSun" w:eastAsia="SimSun" w:cs="SimSun"/>
          <w:color w:val="000000"/>
          <w:sz w:val="24"/>
        </w:rPr>
        <w:t xml:space="preserve">分钟内完成。解密时，投标人必须使用与制作投标文件时同一数字认证证书对投标文件进行解密，否则解密将会失败。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 因投标人原因造成投标文件规定时间未解密或解密失败或无法正常打开投标文件的，采购代理机构将拒绝其投标。部分投标人投标文件未解密或解密失败的，程序可以继续进行。</w:t>
      </w:r>
      <w:r>
        <w:rPr>
          <w:rFonts w:ascii="SimSun" w:hAnsi="SimSun" w:eastAsia="SimSun" w:cs="SimSun"/>
          <w:b/>
          <w:color w:val="000000"/>
          <w:sz w:val="24"/>
        </w:rPr>
        <w:t xml:space="preserve">若解密成功的投标人不足三家，不进入后续程序。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17.6本项目在限定的解密时间内，只要有任一家投标人解密成功，即视为“苏采云”系统运行无故障。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 电子投标文件解密全部完成后，按</w:t>
      </w:r>
      <w:r>
        <w:rPr>
          <w:rFonts w:ascii="SimSun" w:hAnsi="SimSun" w:eastAsia="SimSun" w:cs="SimSun"/>
          <w:b/>
          <w:color w:val="000000"/>
          <w:sz w:val="24"/>
        </w:rPr>
        <w:t xml:space="preserve">投标文件解密成功顺序</w:t>
      </w:r>
      <w:r>
        <w:rPr>
          <w:rFonts w:ascii="SimSun" w:hAnsi="SimSun" w:eastAsia="SimSun" w:cs="SimSun"/>
          <w:color w:val="000000"/>
          <w:sz w:val="24"/>
        </w:rPr>
        <w:t xml:space="preserve">向所有投标人宣布投标人名称、投标价格以及招标文件规定的其他内容。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17.8投标人须配合开标工作，否则一切后果由投标人自行承担。</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18.投标人资格审查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开标结束后，采购人或者采购代理机构将依法对投标人的资格进行审查。</w:t>
      </w:r>
      <w:r>
        <w:rPr>
          <w:rFonts w:ascii="SimSun" w:hAnsi="SimSun" w:eastAsia="SimSun" w:cs="SimSun"/>
          <w:b/>
          <w:color w:val="000000"/>
          <w:sz w:val="24"/>
        </w:rPr>
        <w:t xml:space="preserve">合格投标人不足3家的，不进入后续程序。</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19．评标委员会组成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评标委员会由采购人代表和评审专家组成，成员人数应当为5人以上单数，其中评审专家不得少于成员总数的三分之二。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采购项目符合下列情形之一的，评标委员会成员人数应当为7人以上单数：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（一）采购预算金额在1000万元以上；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（二）技术复杂；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（三）社会影响较大。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评标委员会成员名单在评标结果公告前应当保密。</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20.投标人符合性审查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评标委员会将按照招标文件第四部分“评标办法和标准”第7项规定对通过资格审查的投标人的投标文件进行符合性审查，以确定是否满足招标文件的实质性要求。</w:t>
      </w:r>
      <w:r>
        <w:rPr>
          <w:rFonts w:ascii="SimSun" w:hAnsi="SimSun" w:eastAsia="SimSun" w:cs="SimSun"/>
          <w:b/>
          <w:color w:val="000000"/>
          <w:sz w:val="24"/>
        </w:rPr>
        <w:t xml:space="preserve">符合性审查合格投标人不足3家的，不进入详细评审环节。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20.2根据《关于推动解决政府采购异常低价问题相关工作的通知》苏财购〔2025〕62号的要求，评审委员会应当启动异常低价投标（响应）审查程序的情形包括：</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1、投标（响应）报价低于采购项目预算 50% 的，即投标（响应）报价&lt;采购项目预算×50%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2、投标（响应）报价低于采购项目最高限价 45% 的，即投标（响应）报价&lt;采购项目最高限价×45%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3、评审委员会认定的供应商报价过低、有可能影响产品质量或者不能诚信履约的其他情形。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16"/>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20.3 投标文件澄清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20.3.2投标人的澄清应登录“苏采云”系统进入“澄清事项”模块进行。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 开标至评标结束期间，投标人应保持系统在线，如因投标人自身原因未在规定时间内按评标委员会要求进行澄清、说明或者补正的，一切后果由投标人自行承担。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21．无效投标的情形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 投标人存在下列情况之一的，其投标无效：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 投标人存在下列情况之一的，其投标无效：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21.1.1 投标人在苏采云系统规定的时间内未成功解密电子投标文件的。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21.1.2 投标人未按照招标文件要求上传电子投标文件的。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21.1.3同一投标人提交两个（含两个）以上不同的投标报价的。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21.1.4投标人不具备招标文件中规定资格要求的。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21.1.5投标人的报价超过了采购预算或最高限价的。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21.1.6未通过符合性审查的。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21.1.7不符合招标文件中规定的实质性要求和条件的。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21.1.9 投标文件含有采购人不能接受的附加条件的。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21.1.10符合招标文件前款第 20.2 条规定的异常低价投标情形，即投标（响应）报价低于采购项目预算 50%、低于采购项目最高限价 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21.1.11投标文件未按照招标文件要求加盖CA电子公章的。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21.1.12如有委托代理人，未提供投标人为其缴纳社保证明材料的。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21.1.13投标文件中提供了虚假或失实资料的。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21.1.14投标人存在串通投标情形的。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21.1.15加“★”项有负偏离的；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21.1.16为本项目提供整体设计、规范编制或者项目管理、监理、检测等服务的。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21.1.17不同投标人的法定代表人或单位负责人为同一个人或者存在直接控股、管理关系的。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21.1.18项目工期有负偏离的。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21.1.19不符合法律、法规和招标文件规定的其它实质性条款（须经评标委员会半数以上同意）。</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22. 串通投标的情形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有下列情形之一的，视为投标人串通投标，投标无效：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（1）不同投标人的投标文件由同一单位或者个人编制；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（2）不同投标人委托同一单位或者个人办理投标事宜；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（3）不同投标人的投标文件载明的项目管理成员或者联系人员为同一人；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（4）不同投标人的投标文件异常一致或者投标报价呈规律性差异；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（5）不同投标人的投标文件相互混装。</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23.投标文件详细评审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评标委员会将按照招标文件第五部分“评标办法和标准”第8项规定，对符合性审查合格的投标文件进行商务、技术和价格评估，综合比较与评价。</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24.评标过程的保密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在评标过程中，如果投标人试图在投标文件审查、澄清、比较及授标建议等方面向采购人、采购代理机构或参加评标的人员施加任何影响，都将会导致其投标无效。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w:t>
      </w:r>
      <w:r>
        <w:rPr>
          <w:rFonts w:ascii="SimSun" w:hAnsi="SimSun" w:eastAsia="SimSun" w:cs="SimSun"/>
          <w:b/>
          <w:color w:val="000000"/>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25．废标的情形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出现下列情形之一的，将予废标：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（1）符合专业条件的供应商或者对招标文件作实质响应的供应商不足三家的；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（3）投标人的报价均超过了采购预算，采购人不能支付的；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废标后，采购人应当将废标理由通知所有投标人。</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六、确定结果</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26.确定中标人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26.1采购代理机构在评标结束后2个工作日内将评标报告送采购人。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26.2采购人自收到评标报告之日起5个工作日内，在评标报告确定的中标候选人名单中按顺序确定中标人。中标候选人并列的，按《政府采购货物和服务招标投标管理办法》（财政部87号令）相关规定执行。</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27．中标通知书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自中标人确定之日起2个工作日内，采购代理机构向中标人发出中标通知书，同时编制发布采购结果公告。</w:t>
      </w:r>
      <w:r/>
    </w:p>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27.2中标通知书发出后，采购人不得违法改变中标结果，中标人无正当理由不得放弃中标。</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28.履约保证金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28.1☑本项目不收取履约保证金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□本项目中标供应商应提交合同金额XX的履约保证金（不得超过政府采购合同金额的10%），履约保证金应以支票、汇票、本票、保函、保险保单等非现金形式缴纳或提交。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货物类项目，项目验收合格，出具验收报告及履约保证金收据申请退付；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履约保证金退还时间：采购单位收到投标人退付申请后5个工作日内退还；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29．签订合同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采购人应当自中标通知书发出之日起</w:t>
      </w:r>
      <w:r>
        <w:rPr>
          <w:rFonts w:ascii="SimSun" w:hAnsi="SimSun" w:eastAsia="SimSun" w:cs="SimSun"/>
          <w:color w:val="000000"/>
          <w:sz w:val="24"/>
          <w:u w:val="single"/>
        </w:rPr>
        <w:t xml:space="preserve">15</w:t>
      </w:r>
      <w:r>
        <w:rPr>
          <w:rFonts w:ascii="SimSun" w:hAnsi="SimSun" w:eastAsia="SimSun" w:cs="SimSun"/>
          <w:color w:val="000000"/>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政府采购合同应当包括采购人与中标人的名称和住所、标的、数量、质量、价款或者报酬、履行期限及地点和方式、验收要求、违约责任、解决争议的方法等内容。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29.4采购人应当自采购合同签订之日起2个工作日内，将政府采购合同在政府采购指定媒体予以公告。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29.6采购人与中标人应当根据合同的约定依法履行合同义务。政府采购合同的履行、违约责任和解决争议的方法等适用《中华人民共和国民法典》。</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八、询问、质疑、投诉</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30．询问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31．质疑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以上规定的供应商应知其权益受到损害之日，是指：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（1）对可以质疑的采购文件提出质疑的，为收到采购文件之日或者采购文件公告期限届满之日；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31.4采购人不得拒收质疑供应商在法定质疑期内发出的质疑函，应当在收到质疑函后7个工作日内作出答复，并以书面形式通知质疑供应商和其他有关供应商。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31.5本项目采购人及丹阳市政府采购中心只接收以纸质原件形式送达的质疑。（本项目采购人及丹阳市政府采购中心不接受未填写快递运单的快件）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接收部门:丹阳市政府采购中心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接收地址:丹阳市开发区兰陵路88号四楼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联系电话:0511-86906230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31.6.1内容不符合《政府采购质疑和投诉办法》第十二条规定的质疑。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31.6.2超出政府采购法定期限的质疑。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31.6.3以传真、电子邮件等方式递交的非原件形式的质疑。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31.6.4未参加投标活动的供应商或在投标活动中自身权益未受到损害的供应商所提出的质疑。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31.6.5供应商组成联合体参加投标，联合体中任何一方或多方未按要求签字、盖章、加盖公章的质疑。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31.6.6质疑流程及质疑函格式见“镇江市公共资源交易平台”网站-政民互动-质疑渠道。</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32．投诉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32.2以联合体形式参加政府采购活动的，其投诉应当由组成联合体的所有供应商共同提出。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32.3投诉流程及注意事项见“镇江市公共资源交易服务平台—政府采购”网站“投诉指引”。</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九、诚实信用和解释权</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33．诚实信用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33.1投标人应当遵循公平竞争的原则，不得恶意串通，不得妨碍其他投标人的竞争行为，不得损害采购人或者其他投标人的合法权益。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供应商不得虚假承诺，否则，按照提供虚假材料谋取中标处理。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供应商应自觉遵守开标、评标纪律，扰乱开标评标现场秩序的，属于失信行为，根据《江苏省政府采购供应商监督管理暂行办法》，失信行为将被记入供应商诚信档案。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）、“信用江苏”网站（http://www.jscredit.gov.cn ），信用记录查询截止时间为项</w:t>
      </w:r>
      <w:r>
        <w:rPr>
          <w:rFonts w:ascii="SimSun" w:hAnsi="SimSun" w:eastAsia="SimSun" w:cs="SimSun"/>
          <w:color w:val="000000"/>
          <w:sz w:val="24"/>
        </w:rPr>
        <w:t xml:space="preserve">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34.适用法律及约束力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w:t>
      </w:r>
      <w:r>
        <w:rPr>
          <w:rFonts w:ascii="SimSun" w:hAnsi="SimSun" w:eastAsia="SimSun" w:cs="SimSun"/>
          <w:b/>
          <w:color w:val="000000"/>
          <w:sz w:val="24"/>
        </w:rPr>
        <w:t xml:space="preserve">投标人一旦获取了本招标文件并参加投标，即被认为接受了本招标文件的规定和约束。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本次招标及由本次招标产生的合同受中华人民共和国法律制约和保护。</w:t>
      </w:r>
      <w:r/>
    </w:p>
    <w:p>
      <w:pPr>
        <w:ind w:left="0" w:right="0" w:firstLine="60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35.解释权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除相关法律、法规规定外，本招标文件的解释权归采购代理机构所有。</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第三部分合同条款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丹阳市政府采购合同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采购人：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中标供应商：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使用说明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1.本合同标准文本适用于购买现成货物的采购项目，不包括需要供应商定制开发、创新研发的货物采购项目。</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2.本合同标准文本为政府采购货物买卖合同编制提供参考，可以结合采购项目具体情况，对文本作必要的调整修订后使用。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3.本合同标准文本各条款中，如涉及填写多家供应商、制造商，多种采购标的、分包主要内容等信息的，可根据采购项目具体情况添加信息项。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第一节 政府采购合同协议书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甲方（全称）：（采购人）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乙方（全称）：（供应商）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项目信息</w:t>
      </w:r>
      <w:r/>
    </w:p>
    <w:p>
      <w:pPr>
        <w:numPr>
          <w:ilvl w:val="0"/>
          <w:numId w:val="2"/>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采购项目名称：</w:t>
      </w:r>
      <w:r/>
    </w:p>
    <w:p>
      <w:pPr>
        <w:ind w:left="0" w:right="0" w:firstLine="0"/>
        <w:jc w:val="both"/>
        <w:spacing w:before="0" w:after="0" w:line="400" w:lineRule="atLeast"/>
        <w:tabs>
          <w:tab w:val="left" w:pos="99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采购项目编号：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（2）采购计划编号：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采购标的及数量（台/套/个/架/组等）：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品牌：规格型号：</w:t>
      </w:r>
      <w:r/>
    </w:p>
    <w:p>
      <w:pPr>
        <w:ind w:left="0" w:right="0" w:firstLine="10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采购标的的技术要求、商务要求具体见附件。</w:t>
      </w:r>
      <w:r/>
    </w:p>
    <w:p>
      <w:pPr>
        <w:ind w:left="0" w:right="0" w:firstLine="10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①涉及信息类产品，请填写该产品关键部件的品牌、型号：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标的名称：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关键部件： 品牌： 型号：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关键部件： 品牌： 型号：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关键部件： 品牌： 型号：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②涉及车辆采购，请填写是否属于新能源汽车：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是，《政府采购品目分类目录》底级品目名称： 数量： 金额：</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（4）政府采购组织形式：</w:t>
      </w:r>
      <w:r>
        <w:rPr>
          <w:rFonts w:ascii="Wingdings" w:hAnsi="Wingdings" w:eastAsia="Wingdings" w:cs="Wingdings"/>
          <w:color w:val="000000"/>
          <w:sz w:val="24"/>
        </w:rPr>
        <w:t xml:space="preserve">¨</w:t>
      </w:r>
      <w:r>
        <w:rPr>
          <w:rFonts w:ascii="SimSun" w:hAnsi="SimSun" w:eastAsia="SimSun" w:cs="SimSun"/>
          <w:color w:val="000000"/>
          <w:sz w:val="24"/>
        </w:rPr>
        <w:t xml:space="preserve">政府集中采购</w:t>
      </w:r>
      <w:r>
        <w:rPr>
          <w:rFonts w:ascii="Wingdings" w:hAnsi="Wingdings" w:eastAsia="Wingdings" w:cs="Wingdings"/>
          <w:color w:val="000000"/>
          <w:sz w:val="24"/>
        </w:rPr>
        <w:t xml:space="preserve">¨</w:t>
      </w:r>
      <w:r>
        <w:rPr>
          <w:rFonts w:ascii="SimSun" w:hAnsi="SimSun" w:eastAsia="SimSun" w:cs="SimSun"/>
          <w:color w:val="000000"/>
          <w:sz w:val="24"/>
        </w:rPr>
        <w:t xml:space="preserve">部门集中采购</w:t>
      </w:r>
      <w:r>
        <w:rPr>
          <w:rFonts w:ascii="Wingdings" w:hAnsi="Wingdings" w:eastAsia="Wingdings" w:cs="Wingdings"/>
          <w:color w:val="000000"/>
          <w:sz w:val="24"/>
        </w:rPr>
        <w:t xml:space="preserve">¨</w:t>
      </w:r>
      <w:r>
        <w:rPr>
          <w:rFonts w:ascii="SimSun" w:hAnsi="SimSun" w:eastAsia="SimSun" w:cs="SimSun"/>
          <w:color w:val="000000"/>
          <w:sz w:val="24"/>
        </w:rPr>
        <w:t xml:space="preserve">分散采购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（5）政府采购方式：</w:t>
      </w:r>
      <w:r>
        <w:rPr>
          <w:rFonts w:ascii="Wingdings" w:hAnsi="Wingdings" w:eastAsia="Wingdings" w:cs="Wingdings"/>
          <w:color w:val="000000"/>
          <w:sz w:val="24"/>
        </w:rPr>
        <w:t xml:space="preserve">¨</w:t>
      </w:r>
      <w:r>
        <w:rPr>
          <w:rFonts w:ascii="SimSun" w:hAnsi="SimSun" w:eastAsia="SimSun" w:cs="SimSun"/>
          <w:color w:val="000000"/>
          <w:sz w:val="24"/>
        </w:rPr>
        <w:t xml:space="preserve">公开招标 </w:t>
      </w:r>
      <w:r>
        <w:rPr>
          <w:rFonts w:ascii="Wingdings" w:hAnsi="Wingdings" w:eastAsia="Wingdings" w:cs="Wingdings"/>
          <w:color w:val="000000"/>
          <w:sz w:val="24"/>
        </w:rPr>
        <w:t xml:space="preserve">¨</w:t>
      </w:r>
      <w:r>
        <w:rPr>
          <w:rFonts w:ascii="SimSun" w:hAnsi="SimSun" w:eastAsia="SimSun" w:cs="SimSun"/>
          <w:color w:val="000000"/>
          <w:sz w:val="24"/>
        </w:rPr>
        <w:t xml:space="preserve">邀请招标 </w:t>
      </w:r>
      <w:r>
        <w:rPr>
          <w:rFonts w:ascii="Wingdings" w:hAnsi="Wingdings" w:eastAsia="Wingdings" w:cs="Wingdings"/>
          <w:color w:val="000000"/>
          <w:sz w:val="24"/>
        </w:rPr>
        <w:t xml:space="preserve">¨</w:t>
      </w:r>
      <w:r>
        <w:rPr>
          <w:rFonts w:ascii="SimSun" w:hAnsi="SimSun" w:eastAsia="SimSun" w:cs="SimSun"/>
          <w:color w:val="000000"/>
          <w:sz w:val="24"/>
        </w:rPr>
        <w:t xml:space="preserve">竞争性谈判 </w:t>
      </w:r>
      <w:r>
        <w:rPr>
          <w:rFonts w:ascii="Wingdings" w:hAnsi="Wingdings" w:eastAsia="Wingdings" w:cs="Wingdings"/>
          <w:color w:val="000000"/>
          <w:sz w:val="24"/>
        </w:rPr>
        <w:t xml:space="preserve">¨</w:t>
      </w:r>
      <w:r>
        <w:rPr>
          <w:rFonts w:ascii="SimSun" w:hAnsi="SimSun" w:eastAsia="SimSun" w:cs="SimSun"/>
          <w:color w:val="000000"/>
          <w:sz w:val="24"/>
        </w:rPr>
        <w:t xml:space="preserve">竞争性磋商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询价 </w:t>
      </w:r>
      <w:r>
        <w:rPr>
          <w:rFonts w:ascii="Wingdings" w:hAnsi="Wingdings" w:eastAsia="Wingdings" w:cs="Wingdings"/>
          <w:color w:val="000000"/>
          <w:sz w:val="24"/>
        </w:rPr>
        <w:t xml:space="preserve">¨</w:t>
      </w:r>
      <w:r>
        <w:rPr>
          <w:rFonts w:ascii="SimSun" w:hAnsi="SimSun" w:eastAsia="SimSun" w:cs="SimSun"/>
          <w:color w:val="000000"/>
          <w:sz w:val="24"/>
        </w:rPr>
        <w:t xml:space="preserve">单一来源 </w:t>
      </w:r>
      <w:r>
        <w:rPr>
          <w:rFonts w:ascii="Wingdings" w:hAnsi="Wingdings" w:eastAsia="Wingdings" w:cs="Wingdings"/>
          <w:color w:val="000000"/>
          <w:sz w:val="24"/>
        </w:rPr>
        <w:t xml:space="preserve">¨</w:t>
      </w:r>
      <w:r>
        <w:rPr>
          <w:rFonts w:ascii="SimSun" w:hAnsi="SimSun" w:eastAsia="SimSun" w:cs="SimSun"/>
          <w:color w:val="000000"/>
          <w:sz w:val="24"/>
        </w:rPr>
        <w:t xml:space="preserve">框架协议 </w:t>
      </w:r>
      <w:r>
        <w:rPr>
          <w:rFonts w:ascii="Wingdings" w:hAnsi="Wingdings" w:eastAsia="Wingdings" w:cs="Wingdings"/>
          <w:color w:val="000000"/>
          <w:sz w:val="24"/>
        </w:rPr>
        <w:t xml:space="preserve">¨</w:t>
      </w:r>
      <w:r>
        <w:rPr>
          <w:rFonts w:ascii="SimSun" w:hAnsi="SimSun" w:eastAsia="SimSun" w:cs="SimSun"/>
          <w:color w:val="000000"/>
          <w:sz w:val="24"/>
        </w:rPr>
        <w:t xml:space="preserve">其他：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（注：在框架协议采购的第二阶段，可选择使用该合同文本）</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（6）中标（成交）采购标的制造商是否为中小企业：</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本合同是否为专门面向中小企业的采购合同（中小企业预留合同）：</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若本项目不专门面向中小企业采购，是否给予小微企业评审优惠：</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中标（成交）采购标的制造商是否为残疾人福利性单位：</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中标（成交）采购标的制造商是否为监狱企业：</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（7）合同是否分包：</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分包主要内容：</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分包供应商/制造商名称（如供应商和制造商不同，请分别填写）：</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分包供应商/制造商类型（如果供应商和制造商不同，只填写制造商类型）：</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大型企业</w:t>
      </w:r>
      <w:r>
        <w:rPr>
          <w:rFonts w:ascii="Wingdings" w:hAnsi="Wingdings" w:eastAsia="Wingdings" w:cs="Wingdings"/>
          <w:color w:val="000000"/>
          <w:sz w:val="24"/>
        </w:rPr>
        <w:t xml:space="preserve">¨</w:t>
      </w:r>
      <w:r>
        <w:rPr>
          <w:rFonts w:ascii="SimSun" w:hAnsi="SimSun" w:eastAsia="SimSun" w:cs="SimSun"/>
          <w:color w:val="000000"/>
          <w:sz w:val="24"/>
        </w:rPr>
        <w:t xml:space="preserve">中型企业</w:t>
      </w:r>
      <w:r>
        <w:rPr>
          <w:rFonts w:ascii="Wingdings" w:hAnsi="Wingdings" w:eastAsia="Wingdings" w:cs="Wingdings"/>
          <w:color w:val="000000"/>
          <w:sz w:val="24"/>
        </w:rPr>
        <w:t xml:space="preserve">¨</w:t>
      </w:r>
      <w:r>
        <w:rPr>
          <w:rFonts w:ascii="SimSun" w:hAnsi="SimSun" w:eastAsia="SimSun" w:cs="SimSun"/>
          <w:color w:val="000000"/>
          <w:sz w:val="24"/>
        </w:rPr>
        <w:t xml:space="preserve">小微型企业</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 </w:t>
      </w:r>
      <w:r>
        <w:rPr>
          <w:rFonts w:ascii="Wingdings" w:hAnsi="Wingdings" w:eastAsia="Wingdings" w:cs="Wingdings"/>
          <w:color w:val="000000"/>
          <w:sz w:val="24"/>
        </w:rPr>
        <w:t xml:space="preserve">¨</w:t>
      </w:r>
      <w:r>
        <w:rPr>
          <w:rFonts w:ascii="SimSun" w:hAnsi="SimSun" w:eastAsia="SimSun" w:cs="SimSun"/>
          <w:color w:val="000000"/>
          <w:sz w:val="24"/>
        </w:rPr>
        <w:t xml:space="preserve">监狱企业 </w:t>
      </w:r>
      <w:r>
        <w:rPr>
          <w:rFonts w:ascii="Wingdings" w:hAnsi="Wingdings" w:eastAsia="Wingdings" w:cs="Wingdings"/>
          <w:color w:val="000000"/>
          <w:sz w:val="24"/>
        </w:rPr>
        <w:t xml:space="preserve">¨</w:t>
      </w:r>
      <w:r>
        <w:rPr>
          <w:rFonts w:ascii="SimSun" w:hAnsi="SimSun" w:eastAsia="SimSun" w:cs="SimSun"/>
          <w:color w:val="000000"/>
          <w:sz w:val="24"/>
        </w:rPr>
        <w:t xml:space="preserve">其他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（8）中标（成交）供应商是否为外商投资企业：</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480"/>
        <w:spacing w:before="0" w:after="0" w:line="400" w:lineRule="atLeast"/>
        <w:tabs>
          <w:tab w:val="left" w:pos="13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外商投资企业类型：</w:t>
      </w:r>
      <w:r>
        <w:rPr>
          <w:rFonts w:ascii="Wingdings" w:hAnsi="Wingdings" w:eastAsia="Wingdings" w:cs="Wingdings"/>
          <w:color w:val="000000"/>
          <w:sz w:val="24"/>
        </w:rPr>
        <w:t xml:space="preserve">¨</w:t>
      </w:r>
      <w:r>
        <w:rPr>
          <w:rFonts w:ascii="SimSun" w:hAnsi="SimSun" w:eastAsia="SimSun" w:cs="SimSun"/>
          <w:color w:val="000000"/>
          <w:sz w:val="24"/>
        </w:rPr>
        <w:t xml:space="preserve">全部由外国投资者投资</w:t>
      </w:r>
      <w:r>
        <w:rPr>
          <w:rFonts w:ascii="Wingdings" w:hAnsi="Wingdings" w:eastAsia="Wingdings" w:cs="Wingdings"/>
          <w:color w:val="000000"/>
          <w:sz w:val="24"/>
        </w:rPr>
        <w:t xml:space="preserve">¨</w:t>
      </w:r>
      <w:r>
        <w:rPr>
          <w:rFonts w:ascii="SimSun" w:hAnsi="SimSun" w:eastAsia="SimSun" w:cs="SimSun"/>
          <w:color w:val="000000"/>
          <w:sz w:val="24"/>
        </w:rPr>
        <w:t xml:space="preserve">部分由外国投资者投资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（9）是否涉及进口产品：</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是，《政府采购品目分类目录》底级品目名称： 金额：</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国别： 品牌： 规格型号：</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（10）是否涉及节能产品：</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是，《节能产品政府采购品目清单》的底级品目名称：</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强制采购</w:t>
      </w:r>
      <w:r>
        <w:rPr>
          <w:rFonts w:ascii="Wingdings" w:hAnsi="Wingdings" w:eastAsia="Wingdings" w:cs="Wingdings"/>
          <w:color w:val="000000"/>
          <w:sz w:val="24"/>
        </w:rPr>
        <w:t xml:space="preserve">¨</w:t>
      </w:r>
      <w:r>
        <w:rPr>
          <w:rFonts w:ascii="SimSun" w:hAnsi="SimSun" w:eastAsia="SimSun" w:cs="SimSun"/>
          <w:color w:val="000000"/>
          <w:sz w:val="24"/>
        </w:rPr>
        <w:t xml:space="preserve">优先采购</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是否涉及环境标志产品：</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是，《环境标志产品政府采购品目清单》的底级品目名称：</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强制采购</w:t>
      </w:r>
      <w:r>
        <w:rPr>
          <w:rFonts w:ascii="Wingdings" w:hAnsi="Wingdings" w:eastAsia="Wingdings" w:cs="Wingdings"/>
          <w:color w:val="000000"/>
          <w:sz w:val="24"/>
        </w:rPr>
        <w:t xml:space="preserve">¨</w:t>
      </w:r>
      <w:r>
        <w:rPr>
          <w:rFonts w:ascii="SimSun" w:hAnsi="SimSun" w:eastAsia="SimSun" w:cs="SimSun"/>
          <w:color w:val="000000"/>
          <w:sz w:val="24"/>
        </w:rPr>
        <w:t xml:space="preserve">优先采购</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是否涉及绿色产品：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是，绿色产品政府采购相关政策确定的底级品目名称：</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强制采购</w:t>
      </w:r>
      <w:r>
        <w:rPr>
          <w:rFonts w:ascii="Wingdings" w:hAnsi="Wingdings" w:eastAsia="Wingdings" w:cs="Wingdings"/>
          <w:color w:val="000000"/>
          <w:sz w:val="24"/>
        </w:rPr>
        <w:t xml:space="preserve">¨</w:t>
      </w:r>
      <w:r>
        <w:rPr>
          <w:rFonts w:ascii="SimSun" w:hAnsi="SimSun" w:eastAsia="SimSun" w:cs="SimSun"/>
          <w:color w:val="000000"/>
          <w:sz w:val="24"/>
        </w:rPr>
        <w:t xml:space="preserve">优先采购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（11）涉及商品包装和快递包装的，是否参考《商品包装政府采购需求标准（试行）》、《快递包装政府采购需求标准（试行）》明确产品及相关快递服务的具体包装要求：</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rPr>
          <w:rFonts w:ascii="Wingdings" w:hAnsi="Wingdings" w:eastAsia="Wingdings" w:cs="Wingdings"/>
          <w:color w:val="000000"/>
          <w:sz w:val="24"/>
        </w:rPr>
        <w:t xml:space="preserve">¨</w:t>
      </w:r>
      <w:r>
        <w:rPr>
          <w:rFonts w:ascii="SimSun" w:hAnsi="SimSun" w:eastAsia="SimSun" w:cs="SimSun"/>
          <w:color w:val="000000"/>
          <w:sz w:val="24"/>
        </w:rPr>
        <w:t xml:space="preserve">不涉及</w:t>
      </w:r>
      <w:r/>
    </w:p>
    <w:p>
      <w:pPr>
        <w:numPr>
          <w:ilvl w:val="0"/>
          <w:numId w:val="1"/>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合同金额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（1）合同金额小写：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大写：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分包金额（如有）小写：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大写：</w:t>
      </w:r>
      <w:r/>
    </w:p>
    <w:p>
      <w:pPr>
        <w:numPr>
          <w:ilvl w:val="0"/>
          <w:numId w:val="2"/>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乙方自愿放弃本项目预付款。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采购人支付合同金额的</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作为预付款，在收到中标人提供的相应金额的正规发票后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个工作日内进行支付。电梯安装调试完毕，验收合格并经审计后付至审计后总价的</w:t>
      </w:r>
      <w:r>
        <w:rPr>
          <w:rFonts w:ascii="Times New Roman" w:hAnsi="Times New Roman" w:eastAsia="Times New Roman" w:cs="Times New Roman"/>
          <w:color w:val="000000"/>
          <w:sz w:val="24"/>
        </w:rPr>
        <w:t xml:space="preserve">95%</w:t>
      </w:r>
      <w:r>
        <w:rPr>
          <w:rFonts w:ascii="SimSun" w:hAnsi="SimSun" w:eastAsia="SimSun" w:cs="SimSun"/>
          <w:color w:val="000000"/>
          <w:sz w:val="24"/>
        </w:rPr>
        <w:t xml:space="preserve">，采购人在收到中标人提供的相应金额的正规发票后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个工作日内支付。剩余款项在验收合格满一年后付清，采购人在收到中标人提供的相应金额的正规发票后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个工作日内支付。</w:t>
      </w:r>
      <w:r/>
    </w:p>
    <w:p>
      <w:pPr>
        <w:numPr>
          <w:ilvl w:val="0"/>
          <w:numId w:val="1"/>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（1）起始日期：年月日，完成日期：年月日。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（3）履约担保：是否收取履约保证金：</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收取履约保证金形式：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收取履约保证金金额：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履约担保期限：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（4）分期履行要求：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（5）风险处置措施和替代方案：</w:t>
      </w:r>
      <w:r/>
    </w:p>
    <w:p>
      <w:pPr>
        <w:numPr>
          <w:ilvl w:val="0"/>
          <w:numId w:val="1"/>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合同验收</w:t>
      </w:r>
      <w:r/>
    </w:p>
    <w:p>
      <w:pPr>
        <w:numPr>
          <w:ilvl w:val="0"/>
          <w:numId w:val="3"/>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验收组织方式：</w:t>
      </w:r>
      <w:r>
        <w:rPr>
          <w:rFonts w:ascii="Wingdings" w:hAnsi="Wingdings" w:eastAsia="Wingdings" w:cs="Wingdings"/>
          <w:color w:val="000000"/>
          <w:sz w:val="24"/>
        </w:rPr>
        <w:t xml:space="preserve">¨</w:t>
      </w:r>
      <w:r>
        <w:rPr>
          <w:rFonts w:ascii="SimSun" w:hAnsi="SimSun" w:eastAsia="SimSun" w:cs="SimSun"/>
          <w:color w:val="000000"/>
          <w:sz w:val="24"/>
        </w:rPr>
        <w:t xml:space="preserve">自行组织 </w:t>
      </w:r>
      <w:r>
        <w:rPr>
          <w:rFonts w:ascii="Wingdings" w:hAnsi="Wingdings" w:eastAsia="Wingdings" w:cs="Wingdings"/>
          <w:color w:val="000000"/>
          <w:sz w:val="24"/>
        </w:rPr>
        <w:t xml:space="preserve">¨</w:t>
      </w:r>
      <w:r>
        <w:rPr>
          <w:rFonts w:ascii="SimSun" w:hAnsi="SimSun" w:eastAsia="SimSun" w:cs="SimSun"/>
          <w:color w:val="000000"/>
          <w:sz w:val="24"/>
        </w:rPr>
        <w:t xml:space="preserve">委托第三方组织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验收主体：</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是否邀请本项目的其他供应商参加验收：</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是否邀请专家参加验收：</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是否邀请服务对象参加验收：</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是否邀请第三方检测机构参加验收：</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是否进行抽查检测：</w:t>
      </w:r>
      <w:r>
        <w:rPr>
          <w:rFonts w:ascii="Wingdings" w:hAnsi="Wingdings" w:eastAsia="Wingdings" w:cs="Wingdings"/>
          <w:color w:val="000000"/>
          <w:sz w:val="24"/>
        </w:rPr>
        <w:t xml:space="preserve">¨</w:t>
      </w:r>
      <w:r>
        <w:rPr>
          <w:rFonts w:ascii="SimSun" w:hAnsi="SimSun" w:eastAsia="SimSun" w:cs="SimSun"/>
          <w:color w:val="000000"/>
          <w:sz w:val="24"/>
        </w:rPr>
        <w:t xml:space="preserve">是，抽查比例：</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是否存在破坏性检测：</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SimSun" w:hAnsi="SimSun" w:eastAsia="SimSun" w:cs="SimSun"/>
          <w:color w:val="000000"/>
          <w:sz w:val="24"/>
          <w:u w:val="single"/>
        </w:rPr>
        <w:t xml:space="preserve">（应明确对被破坏的检测产品的处理方式）</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验收组织的其他事项：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（2）履约验收时间：</w:t>
      </w:r>
      <w:r>
        <w:rPr>
          <w:rFonts w:ascii="SimSun" w:hAnsi="SimSun" w:eastAsia="SimSun" w:cs="SimSun"/>
          <w:color w:val="000000"/>
          <w:sz w:val="24"/>
          <w:u w:val="single"/>
        </w:rPr>
        <w:t xml:space="preserve">（计划于何时验收/供应商提出验收申请之日起   日内组织验收）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（3）履约验收方式：</w:t>
      </w:r>
      <w:r>
        <w:rPr>
          <w:rFonts w:ascii="Wingdings" w:hAnsi="Wingdings" w:eastAsia="Wingdings" w:cs="Wingdings"/>
          <w:color w:val="000000"/>
          <w:sz w:val="24"/>
        </w:rPr>
        <w:t xml:space="preserve">¨</w:t>
      </w:r>
      <w:r>
        <w:rPr>
          <w:rFonts w:ascii="SimSun" w:hAnsi="SimSun" w:eastAsia="SimSun" w:cs="SimSun"/>
          <w:color w:val="000000"/>
          <w:sz w:val="24"/>
        </w:rPr>
        <w:t xml:space="preserve">一次性验收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分期/分项验收：</w:t>
      </w:r>
      <w:r>
        <w:rPr>
          <w:rFonts w:ascii="SimSun" w:hAnsi="SimSun" w:eastAsia="SimSun" w:cs="SimSun"/>
          <w:color w:val="000000"/>
          <w:sz w:val="24"/>
          <w:u w:val="single"/>
        </w:rPr>
        <w:t xml:space="preserve"> （应明确分期/分项验收的工作安排）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（4）履约验收程序：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（5）履约验收的内容：</w:t>
      </w:r>
      <w:r>
        <w:rPr>
          <w:rFonts w:ascii="SimSun" w:hAnsi="SimSun" w:eastAsia="SimSun" w:cs="SimSun"/>
          <w:color w:val="000000"/>
          <w:sz w:val="24"/>
          <w:u w:val="single"/>
        </w:rPr>
        <w:t xml:space="preserve"> （应当包括每一项技术和商务要求的履约情况，特别是落实政府采购扶持中小企业，支持绿色发展和乡村振兴等政策情况）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（6）履约验收标准：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（7）是否以采购活动中供应商提供的样品作为参考：</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（8）履约验收其他事项：</w:t>
      </w:r>
      <w:r>
        <w:rPr>
          <w:rFonts w:ascii="SimSun" w:hAnsi="SimSun" w:eastAsia="SimSun" w:cs="SimSun"/>
          <w:color w:val="000000"/>
          <w:sz w:val="24"/>
          <w:u w:val="single"/>
        </w:rPr>
        <w:t xml:space="preserve">      （产权过户登记等）</w:t>
      </w:r>
      <w:r/>
    </w:p>
    <w:p>
      <w:pPr>
        <w:numPr>
          <w:ilvl w:val="0"/>
          <w:numId w:val="1"/>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组成合同的文件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本协议书与下列文件一起构成合同文件，如下述文件之间有任何抵触、矛盾或歧义，应按以下顺序解释：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（1）政府采购合同协议书及其变更、补充协议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（2）政府采购合同专用条款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（3）政府采购合同通用条款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（4）中标（成交）通知书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（7）有关技术文件，图纸</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（8）国家法律、行政法规和规章制度规定或合同约定的作为合同组成部分的其他文件</w:t>
      </w:r>
      <w:r/>
    </w:p>
    <w:p>
      <w:pPr>
        <w:numPr>
          <w:ilvl w:val="0"/>
          <w:numId w:val="1"/>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合同生效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本合同自年月日生效。</w:t>
      </w:r>
      <w:r/>
    </w:p>
    <w:p>
      <w:pPr>
        <w:numPr>
          <w:ilvl w:val="0"/>
          <w:numId w:val="1"/>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合同份数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本合同一式份，甲方执份，乙方执份，均具有同等法律效力。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合同订立时间：年月日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附件：具体标的及其技术要求和商务要求、联合协议、分包意向协议等。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96"/>
        <w:gridCol w:w="2691"/>
        <w:gridCol w:w="2178"/>
        <w:gridCol w:w="2374"/>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w:t>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单位名称（公章或合同章）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115"/>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3"/>
        </w:trPr>
        <w:tc>
          <w:tcPr>
            <w:vMerge w:val="continue"/>
            <w:textDirection w:val="lrTb"/>
            <w:noWrap w:val="false"/>
          </w:tcPr>
          <w:p>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  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  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58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val="false"/>
          </w:tcPr>
          <w:p>
            <w:pPr>
              <w:ind w:left="0" w:right="0" w:firstLine="645"/>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注：涉及联合体或其他合同主体的信息应按上表格式加列。</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第二节 政府采购合同通用条款</w:t>
      </w:r>
      <w:r/>
    </w:p>
    <w:p>
      <w:pPr>
        <w:ind w:left="0" w:right="0" w:firstLine="0"/>
        <w:spacing w:before="0" w:after="0" w:line="400" w:lineRule="atLeast"/>
        <w:tabs>
          <w:tab w:val="left" w:pos="8820" w:leader="none"/>
          <w:tab w:val="left" w:pos="9345" w:leader="none"/>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定义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1.1合同当事人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（1）采购人（以下称甲方）是指使用财政性资金，通过政府采购方式向供应商购买货物及其相关服务的国家机关、事业单位、团体组织。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（2）供应商（以下称乙方）是指参加政府采购活动并且中标（成交），向采购人提供合同约定的货物及其相关服务的法人、非法人组织或者自然人。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（3）其他合同主体是指除采购人和供应商以外，依法参与合同缔结或履行，享有权利、承担义务的合同当事人。</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1.2本合同下列术语应解释为：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（2）“合同价款”系指根据本合同规定乙方在全面履行合同义务后甲方应支付给乙方的价款。</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（3）“货物”系指乙方根据本合同规定须向甲方提供的各种形态和种类的物品，包括原材料、设备、产品（包括软件）及相关的其备品备件、工具、手册及其他技术资料和材料等。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（7）其他术语解释，见【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2.合同标的及金额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合同标的及金额应与中标（成交）结果一致。乙方为履行本合同而发生的所有费用均应包含在合同价款中，甲方不再另行支付其他任何费用。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履行合同的时间、地点和方式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乙方应当在约定的时间、地点，按照约定方式履行合同。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甲方的权利和义务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甲方有权要求乙方对缺陷部分予以修复，并按合同约定享有货物保修及其他合同约定的权利。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甲方应当按照合同约定及时对交付的货物进行验收，未在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约定的期限内对乙方履约提出任何异议或者向乙方作出任何说明的，视为验收通过。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 甲方应当根据合同约定及时向乙方支付合同价款，不得以内部人员变更、履行内部付款流程等为由，拒绝或迟延支付。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 国家法律法规规定及</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约定应由甲方承担的其他义务和责任。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乙方的权利和义务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签署合同后，乙方应确定项目负责人（或项目联系人），负责与本合同有关的事务。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5.3乙方有权根据合同约定向甲方收取合同价款。</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5.4国家法律法规规定及</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约定应由乙方承担的其他义务和责任。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6.合同履行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甲乙双方应当按照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约定顺序履行合同义务；如果没有先后顺序的，应当同时履行。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货物包装、运输、保险和交付要求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本合同涉及商品包装、快递包装的，除</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另有约定外，包装应适应远距离运输、防潮、防震、防锈和防野蛮装卸等要求，确保货物安全无损地运抵</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约定的指定现场。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另有约定外，乙方负责办理将货物运抵本合同规定的交货地点，并装卸、交付至甲方的一切运输事项，相关费用应包含在合同价款中。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货物保险要求按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乙方在运输到达之前应提前通知甲方，并提示货物运输装卸的注意事项，甲方配合乙方做好货物的接收工作。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如因包装、运输问题导致货物损毁、丢失或者品质下降，甲方有权要求降价、换货、拒收部分或整批货物，由此产生的费用和损失，均由乙方承担。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质量标准和保证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质量标准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（2）采用中华人民共和国法定计量单位。</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（3）乙方所提供的货物应符合国家有关安全、环保、卫生的规定。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保证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规定或乙方书面承诺（两者以较长的为准）的质量保证期内，本保证保持有效。</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（2）在质量保证期内所发现的缺陷，甲方应尽快以书面形式通知乙方。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（3）乙方收到通知后，应在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规定的响应时间内以合理的速度免费维修或更换有缺陷的货物或部件。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（5）乙方在约定的时间内未能弥补缺陷，甲方可采取必要的补救措施，但其风险和费用将由乙方承担，甲方根据合同约定对乙方行使的其他权利不受影响。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9.权利瑕疵担保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乙方保证对其出售的货物享有合法的权利。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乙方保证在交付的货物上不存在抵押权等担保物权。</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如甲方使用上述货物构成对第三人侵权的，则由乙方承担全部责任。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知识产权保护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保密义务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合同价款支付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合同价款支付按照国库集中支付制度及财政管理相关规定执行。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】中约定。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履约保证金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乙方应当以支票、汇票、本票或者金融机构、担保机构出具的保函等非现金形式提交。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如果乙方出现</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甲方在项目通过验收后按照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规定的时间内将履约保证金退还乙方；逾期退还的，乙方可要求甲方支付违约金，违约金按照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售后服务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除项目不涉及或采购活动中明确约定无须承担外，乙方还应提供下列服务：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（1）货物的现场移动、安装、调试、启动监督及技术支持；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（2）提供货物组装和维修所需的专用工具和辅助材料；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约定的期限内对所有的货物实施运行监督、维修，但前提条件是该服务并不能免除乙方在质量保证期内所承担的义务；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（4）在制造商所在地或指定现场就货物的安装、启动、运营、维护、废弃处置等对甲方操作人员进行培训；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（5）依照法律、行政法规的规定或者按照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约定，货物在有效使用年限届满后应予回收的，乙方负有自行或者委托第三人对货物予以回收的义务；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规定由乙方提供的其他服务。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乙方提供的售后服务的费用已包含在合同价款中，甲方不再另行支付。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15.1质量瑕疵的违约责任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乙方提供的产品不符合合同约定的质量标准或存在产品质量缺陷，甲方有权要求乙方根据</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要求及时修理、重作、更换，并承担由此给甲方造成的损失。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迟延交货的违约责任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（2）如果乙方没有按照合同规定的时间交货和提供相关服务，甲方有权从货款中扣除误期赔偿费而不影响合同项下的其他补救方法，赔偿费按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规定执行。如果涉及公共利益，且赔偿金额无法弥补公共利益损失，甲方可要求继续履行或者采取其他补救措施。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迟延支付的违约责任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甲方存在迟延支付乙方合同款项的，应当承担</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规定的逾期付款利息。</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15.4其他违约责任根据项目实际需要按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w:t>
      </w:r>
      <w:r/>
    </w:p>
    <w:p>
      <w:pPr>
        <w:numPr>
          <w:ilvl w:val="0"/>
          <w:numId w:val="4"/>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合同变更、中止与终止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16.1合同的变更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政府采购合同履行中，在不改变合同其他条款的前提下，甲方可以在合同价款10%的范围内追加与合同标的相同的货物，并就此与乙方协商一致后签订补充协议。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16.2合同的中止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（1）合同履行过程中因供应商就采购文件、采购过程或结果提起投诉的，甲方认为有必要的，可以中止合同的履行。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（4）甲方不得以行政区划调整、政府换届、机构或者职能调整以及相关责任人更替为由中止合同。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16.3合同的终止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（1）合同因有效期限届满而终止；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（2）乙方未按合同约定履行，构成根本性违约的，甲方有权终止合同，并追究乙方的违约责任。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涉及国家利益、社会公共利益的情形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合同分包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乙方不得将合同转包给其他供应商。涉及合同分包的，乙方应根据采购文件和投标（响应）文件规定进行合同分包。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乙方执行政府采购政策向中小企业依法分包的，乙方应当按采购文件和投标（响应）文件签订分包意向协议，分包意向协议属于本合同组成部分。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不可抗力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不可抗力是指合同双方不能预见、不能避免且不能克服的客观情况。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任何一方对由于不可抗力造成的部分或全部不能履行合同不承担违约责任。但迟延履行后发生不可抗力的，不能免除责任。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解决争议的方法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选择仲裁的，应在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中明确仲裁机构及仲裁地；通过诉讼方式解决的，可以在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中进一步约定选择与争议有实际联系的地点的人民法院管辖，但管辖法院的约定不得违反级别管辖和专属管辖的规定。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如甲乙双方有争议的事项不影响合同其他部分的履行，在争议解决期间，合同其他部分应当继续履行。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政府采购政策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本合同应当按照规定执行政府采购政策。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法律适用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本合同的订立、生效、解释、履行及与本合同有关的争议解决，均适用法律、行政法规。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本合同条款与法律、行政法规的强制性规定不一致的，双方当事人应按照法律、行政法规的强制性规定修改本合同的相关条款。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通知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22.2 一方当事人变更名称、住所、联系人、联系电话或电子邮箱等信息的，应当在变更后3日内及时书面通知对方，对方实际收到变更通知前的送达仍为有效送达。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22.3本合同一方给另一方的通知均应采用书面形式，传真或快递送到本合同中规定的对方的地址和办理签收手续。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22.4通知以送达之日或通知书中规定的生效之日起生效，两者中以较迟之日为准。</w:t>
      </w:r>
      <w:r/>
    </w:p>
    <w:p>
      <w:pPr>
        <w:numPr>
          <w:ilvl w:val="0"/>
          <w:numId w:val="5"/>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合同未尽事项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23.1合同未尽事项见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23.2 合同附件与合同正文具有同等的法律效力。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第三节 政府采购合同专用条款</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02"/>
        <w:gridCol w:w="1611"/>
        <w:gridCol w:w="4699"/>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货物质量缺陷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54" w:right="85" w:hanging="25"/>
              <w:spacing w:before="181"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1、中国政府根据现行税法规定对甲方征收的、与本合同有关的一切税费，均由甲方负担，招标文件另有规定的除外。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2、中国政府根据现行税法规定对乙方征收的、与本合同有关的一切税费，均由乙方负担。</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伴随服务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1、在甲方对乙方违约而采取的任何补救措施不受影响的情况下，甲方可向乙方发出终止部分或全部合同的书面通知书。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如果乙方未能按合同规定的期限或甲方同意延长的限期内完成部分或全部服务工作;</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乙方在收到甲方发出的违约通知后10天内，或经甲方书面认可延长的时间内未能纠正其过失;</w:t>
            </w:r>
            <w:r/>
          </w:p>
          <w:p>
            <w:pPr>
              <w:ind w:left="66" w:right="0" w:firstLine="0"/>
              <w:spacing w:before="182"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如果乙方未能履行合同规定的其他义务。</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4"/>
              </w:rPr>
              <w:t xml:space="preserve">、在甲方根据上述第1条规定，终止了全部或部分合同后，甲方可以依其认为适当的条件和方法购买与此服务类似的服务，乙方应对甲方购买类似服务所超出的那部分费用负责。但是，乙方应继续执行合同中未终止的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索赔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合同生效及其它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本合同自双方签定之日起生效，至项目实施完成并付清费用结束</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第四部分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一、项目概况</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丹阳市行政中心</w:t>
      </w:r>
      <w:r>
        <w:rPr>
          <w:rFonts w:ascii="Calibri" w:hAnsi="Calibri" w:eastAsia="Calibri" w:cs="Calibri"/>
          <w:color w:val="000000"/>
          <w:sz w:val="24"/>
        </w:rPr>
        <w:t xml:space="preserve">7</w:t>
      </w:r>
      <w:r>
        <w:rPr>
          <w:rFonts w:ascii="SimSun" w:hAnsi="SimSun" w:eastAsia="SimSun" w:cs="SimSun"/>
          <w:color w:val="000000"/>
          <w:sz w:val="24"/>
        </w:rPr>
        <w:t xml:space="preserve">、</w:t>
      </w:r>
      <w:r>
        <w:rPr>
          <w:rFonts w:ascii="Calibri" w:hAnsi="Calibri" w:eastAsia="Calibri" w:cs="Calibri"/>
          <w:color w:val="000000"/>
          <w:sz w:val="24"/>
        </w:rPr>
        <w:t xml:space="preserve">8</w:t>
      </w:r>
      <w:r>
        <w:rPr>
          <w:rFonts w:ascii="SimSun" w:hAnsi="SimSun" w:eastAsia="SimSun" w:cs="SimSun"/>
          <w:color w:val="000000"/>
          <w:sz w:val="24"/>
        </w:rPr>
        <w:t xml:space="preserve">、</w:t>
      </w:r>
      <w:r>
        <w:rPr>
          <w:rFonts w:ascii="Calibri" w:hAnsi="Calibri" w:eastAsia="Calibri" w:cs="Calibri"/>
          <w:color w:val="000000"/>
          <w:sz w:val="24"/>
        </w:rPr>
        <w:t xml:space="preserve">9</w:t>
      </w:r>
      <w:r>
        <w:rPr>
          <w:rFonts w:ascii="SimSun" w:hAnsi="SimSun" w:eastAsia="SimSun" w:cs="SimSun"/>
          <w:color w:val="000000"/>
          <w:sz w:val="24"/>
        </w:rPr>
        <w:t xml:space="preserve">号电梯，人社局</w:t>
      </w:r>
      <w:r>
        <w:rPr>
          <w:rFonts w:ascii="Calibri" w:hAnsi="Calibri" w:eastAsia="Calibri" w:cs="Calibri"/>
          <w:color w:val="000000"/>
          <w:sz w:val="24"/>
        </w:rPr>
        <w:t xml:space="preserve">2</w:t>
      </w:r>
      <w:r>
        <w:rPr>
          <w:rFonts w:ascii="SimSun" w:hAnsi="SimSun" w:eastAsia="SimSun" w:cs="SimSun"/>
          <w:color w:val="000000"/>
          <w:sz w:val="24"/>
        </w:rPr>
        <w:t xml:space="preserve">台电梯和残联</w:t>
      </w:r>
      <w:r>
        <w:rPr>
          <w:rFonts w:ascii="Calibri" w:hAnsi="Calibri" w:eastAsia="Calibri" w:cs="Calibri"/>
          <w:color w:val="000000"/>
          <w:sz w:val="24"/>
        </w:rPr>
        <w:t xml:space="preserve">1</w:t>
      </w:r>
      <w:r>
        <w:rPr>
          <w:rFonts w:ascii="SimSun" w:hAnsi="SimSun" w:eastAsia="SimSun" w:cs="SimSun"/>
          <w:color w:val="000000"/>
          <w:sz w:val="24"/>
        </w:rPr>
        <w:t xml:space="preserve">台电梯，因使用年限较长，设备磨损老化现象严重，故障率较高，存在较大风险隐患。为保证行政中心、人社局及残联电梯的安全运行，对</w:t>
      </w:r>
      <w:r>
        <w:rPr>
          <w:rFonts w:ascii="Calibri" w:hAnsi="Calibri" w:eastAsia="Calibri" w:cs="Calibri"/>
          <w:color w:val="000000"/>
          <w:sz w:val="24"/>
        </w:rPr>
        <w:t xml:space="preserve">6</w:t>
      </w:r>
      <w:r>
        <w:rPr>
          <w:rFonts w:ascii="SimSun" w:hAnsi="SimSun" w:eastAsia="SimSun" w:cs="SimSun"/>
          <w:color w:val="000000"/>
          <w:sz w:val="24"/>
        </w:rPr>
        <w:t xml:space="preserve">台电梯进行拆除、电梯井道改造、机房改造、新电梯采购、安装、调试、验收及售后服务等。</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本项目所属行业：工业。</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二、采购标的</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（一） 采购标的</w:t>
      </w:r>
      <w:r/>
    </w:p>
    <w:p>
      <w:pPr>
        <w:ind w:left="0" w:right="0" w:firstLine="40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1.货物类标的清单:</w:t>
      </w:r>
      <w:r/>
    </w:p>
    <w:p>
      <w:pPr>
        <w:ind w:left="0" w:right="0" w:firstLine="40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（1）丹阳市行政服务中心</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6"/>
        <w:gridCol w:w="316"/>
        <w:gridCol w:w="453"/>
        <w:gridCol w:w="734"/>
        <w:gridCol w:w="843"/>
        <w:gridCol w:w="706"/>
        <w:gridCol w:w="470"/>
        <w:gridCol w:w="1122"/>
        <w:gridCol w:w="800"/>
        <w:gridCol w:w="1122"/>
        <w:gridCol w:w="368"/>
      </w:tblGrid>
      <w:tr>
        <w:trPr>
          <w:trHeight w:val="15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载重（kg）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速度（m/s）</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层/站/门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提升高度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井道尺寸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（宽×深mm)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底坑深度（mm）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开门尺寸(mm)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rHeight w:val="19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DT4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无机房客梯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9层/9站/9门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2700*2200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1000*2100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r>
      <w:tr>
        <w:trPr>
          <w:trHeight w:val="19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DT5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无机房客梯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9层/9站/9门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2500*2200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1000*2100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r>
      <w:tr>
        <w:trPr>
          <w:trHeight w:val="1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DT6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无机房客梯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9层/9站/9门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2500*2200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1000*2100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r>
      <w:tr>
        <w:trPr>
          <w:trHeight w:val="9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层高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1F：5000 2F:5900 3F：4100 4F-8F:4200 9F：4700</w:t>
            </w:r>
            <w:r/>
          </w:p>
        </w:tc>
      </w:tr>
    </w:tbl>
    <w:p>
      <w:pPr>
        <w:ind w:left="0" w:right="0" w:firstLine="40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 </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 丹阳市人力资源和社会保障局</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7"/>
        <w:gridCol w:w="320"/>
        <w:gridCol w:w="498"/>
        <w:gridCol w:w="709"/>
        <w:gridCol w:w="776"/>
        <w:gridCol w:w="708"/>
        <w:gridCol w:w="756"/>
        <w:gridCol w:w="1110"/>
        <w:gridCol w:w="756"/>
        <w:gridCol w:w="1027"/>
        <w:gridCol w:w="367"/>
      </w:tblGrid>
      <w:tr>
        <w:trPr>
          <w:trHeight w:val="60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载重（kg）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速度（m/s）</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层/站/门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提升高度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井道尺寸（宽×深mm)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底坑深度（mm）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开门尺寸(mm)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DT2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北梯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有机房客梯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8层/8站/8门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2300*2300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900*2100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DT3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有机房客梯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9层/9站/9门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32.75m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2300*2300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900*2100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r>
      <w:tr>
        <w:trPr>
          <w:trHeight w:val="135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层高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北梯：1F-3F：4500 4F-6F:3600 7F:3700  8F：4420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南梯：-1F：4750  1F-3F：4500 4F-6F:3600 7F:3700  8F：4420</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 </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（3） 丹阳市残疾人联合会</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2"/>
        <w:gridCol w:w="562"/>
        <w:gridCol w:w="724"/>
        <w:gridCol w:w="870"/>
        <w:gridCol w:w="876"/>
        <w:gridCol w:w="656"/>
        <w:gridCol w:w="1223"/>
        <w:gridCol w:w="874"/>
        <w:gridCol w:w="1070"/>
        <w:gridCol w:w="410"/>
      </w:tblGrid>
      <w:tr>
        <w:trPr>
          <w:trHeight w:val="6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载重（kg）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速度（m/s）</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层/站/门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提升高度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井道尺寸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（宽×深mm)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底坑深度（mm）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开门尺寸(mm)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无机房客梯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6层/6站/6门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2160*2100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900*2100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层高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1F:3900 2F-5F:3600  6F:4300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原电梯为有机房，因无检修通道，现改为无机房，井道机房需整改</w:t>
            </w:r>
            <w:r/>
          </w:p>
        </w:tc>
      </w:tr>
    </w:tbl>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 </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2.本项目核心产品为：客梯。 </w:t>
      </w:r>
      <w:r/>
    </w:p>
    <w:p>
      <w:pPr>
        <w:numPr>
          <w:ilvl w:val="0"/>
          <w:numId w:val="6"/>
        </w:numPr>
        <w:jc w:val="both"/>
        <w:spacing w:before="0" w:after="0" w:line="43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技术要求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
        <w:gridCol w:w="549"/>
        <w:gridCol/>
        <w:gridCol w:w="8057"/>
        <w:gridCol w:w="424"/>
      </w:tblGrid>
      <w:tr>
        <w:trPr>
          <w:trHeight w:val="3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丹阳市行政服务中心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丹阳市人力资源和社会保障局</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82" w:type="dxa"/>
            <w:vAlign w:val="center"/>
            <w:textDirection w:val="lrTb"/>
            <w:noWrap/>
          </w:tcPr>
          <w:p>
            <w:pPr>
              <w:ind w:left="0" w:right="0" w:firstLine="464"/>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丹阳市残疾人联合会</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控制方式</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并联控制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单独控制</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停靠楼层</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丹阳市行政服务中心：1F~9F</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丹阳市人力资源和社会保障局:1F~8F、-1F~8F</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1F~6F</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电源要求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交流三相380V±7%，50HZ；交流单相220V±7%，50HZ。</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驱动系统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永磁同步无齿轮曳引机。</w:t>
            </w:r>
            <w:r/>
          </w:p>
        </w:tc>
      </w:tr>
      <w:tr>
        <w:trPr>
          <w:trHeight w:val="369"/>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▲电梯曳引机主要部件（机座含主轴、曳引轮、制动轮、前支撑）可承受3倍安全系数不被破坏。</w:t>
            </w:r>
            <w:r/>
          </w:p>
        </w:tc>
      </w:tr>
      <w:tr>
        <w:trPr>
          <w:trHeight w:val="369"/>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▲电梯的曳引机制动器应根据TSG T7007-2022进行动作寿命测试。电梯驱动主机制动器总成（包括电磁铁、制动弹性元件、机械制动部件、被制动部件、基体部件、电源及控制板、状态检测装置等）应当进行不少于 1800 万次的动作试验，试验过程中不得进行任何维护，试验期间制动器不允许出现任何故障，试验后制动器应能正常动作，且制动器噪音不大于50dB。</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调速方式</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交流变频调压控制系统(VVVF)。</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有无机房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有机房</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8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无机房</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悬挂系统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▲采用复合钢带（包覆带）</w:t>
            </w:r>
            <w:r/>
          </w:p>
        </w:tc>
      </w:tr>
      <w:tr>
        <w:trPr>
          <w:trHeight w:val="369"/>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▲配备钢带保护装置。</w:t>
            </w:r>
            <w:r/>
          </w:p>
        </w:tc>
      </w:tr>
      <w:tr>
        <w:trPr>
          <w:trHeight w:val="1379"/>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控制系统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▲微电脑控制，矢量变频调速，双核 32 位处理器；电梯控制柜具备防潮能力，设计有吸潮板、吸潮口，可以适用于湿度较高的工作环境；</w:t>
            </w:r>
            <w:r/>
          </w:p>
        </w:tc>
      </w:tr>
      <w:tr>
        <w:trPr>
          <w:trHeight w:val="3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控制柜，能量回馈功能。</w:t>
            </w:r>
            <w:r/>
          </w:p>
        </w:tc>
      </w:tr>
      <w:tr>
        <w:trPr>
          <w:trHeight w:val="369"/>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▲根据所投品牌制造商控制柜需具有抗高低温能力（适应夏天及冬天极端温度情况），控制柜应进行温湿度老化试验：试验温度-20 ℃ ~60℃或更大范围的，试验后控制柜正常动作的。</w:t>
            </w:r>
            <w:r/>
          </w:p>
        </w:tc>
      </w:tr>
      <w:tr>
        <w:trPr>
          <w:trHeight w:val="369"/>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▲控制柜需具有电梯安全智能保障系统，试验依据应按照TSG 7007-2022，试验内容需包括制动力监测诊断，轿门锁厅门锁配合监测诊断，空载电流监测诊断。</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信号传输方式</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数字串行通讯。</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门机系统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变频门机系统，调速平滑，运行可靠。</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厅  门</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304发纹不锈钢；不锈钢厚度≥1.5mm。</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厅门地坎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硬质铝合金</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轿门</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中分式，304发纹不锈钢。不锈钢厚度≥1.5mm。</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轿门地坎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硬质铝合金</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轿壁</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304发纹不锈钢</w:t>
            </w:r>
            <w:r>
              <w:rPr>
                <w:rFonts w:ascii="SimSun" w:hAnsi="SimSun" w:eastAsia="SimSun" w:cs="SimSun"/>
                <w:color w:val="000000"/>
                <w:sz w:val="24"/>
              </w:rPr>
              <w:t xml:space="preserve">，轿厢后壁为中间侧为镜面不锈钢，不锈钢厚度≥1.5mm；侧壁配置扶手。</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轿顶</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装饰天花板，配有足够亮度的照明，中标供应商提高不少于三套装饰方案供采购方选择。</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地板</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大理石地砖，中标供应商提高不少于三套装饰方案供采购方选择。</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vMerge w:val="restart"/>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轿内操纵箱</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轿厢配置全高一体式操纵盘；</w:t>
            </w:r>
            <w:r/>
          </w:p>
        </w:tc>
      </w:tr>
      <w:tr>
        <w:trPr>
          <w:trHeight w:val="369"/>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微触按钮, 并带运行方向显示，内选纠错功能；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不锈钢按钮带盲文；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液晶显示板，显示运行位置及运动方向；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配有司机操作、独立操作开关。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标示厂牌、用途、限乘人数、限载人数、限载重量、禁烟标志。</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轿内显示器</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▲轿内显示器需具备一定的抗冲击能力，按照GB/T2423.55进行锤击试验后检测结果为合格。</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轿厢尺寸(宽×深×高mm)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丹阳市行政服务中心：1800*1720*2400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丹阳市人力资源和社会保障局:</w:t>
            </w:r>
            <w:r>
              <w:rPr>
                <w:rFonts w:ascii="SimSun" w:hAnsi="SimSun" w:eastAsia="SimSun" w:cs="SimSun"/>
                <w:color w:val="000000"/>
                <w:sz w:val="24"/>
              </w:rPr>
              <w:t xml:space="preserve">1600*1500*2400</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8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丹阳市残疾人联合会：</w:t>
            </w:r>
            <w:r>
              <w:rPr>
                <w:rFonts w:ascii="SimSun" w:hAnsi="SimSun" w:eastAsia="SimSun" w:cs="SimSun"/>
                <w:color w:val="000000"/>
                <w:sz w:val="24"/>
              </w:rPr>
              <w:t xml:space="preserve">1600*1500*2400</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▲电梯按钮按钮需经过2000万次或以上的寿命测试，试验后按钮的通断功能正常、结构无明显损坏，测试应包含“上行、下行、楼层”按钮。</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轿门光幕</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▲光幕保护、光束大于190束。</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轿厢通风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配电梯专用冷暖空调。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轿厢照明控制</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基站无呼时轿内照明与风扇自动关闭视频接口；启动补偿。</w:t>
            </w:r>
            <w:r/>
          </w:p>
        </w:tc>
      </w:tr>
      <w:tr>
        <w:trPr>
          <w:trHeight w:val="5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轿厢导靴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轿厢侧及对重侧配置弹性滚轮导靴。</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厅外召唤</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304发纹不锈钢；与原预留孔匹配；液晶显示运行位置及运动方向，选用微动按钮；基站设有泊梯开关，其中呼梯面板采用与现有面板尺寸一致的整体式面板上有呼梯按钮，数字楼层及运行方向需同时显示。</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摄像监控</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提供轿厢至机房的视频电缆（数字信号）。</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通信系统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按国家规范要求配置五方通话系统。</w:t>
            </w:r>
            <w:r/>
          </w:p>
        </w:tc>
      </w:tr>
      <w:tr>
        <w:trPr>
          <w:trHeight w:val="8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消防功能</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bottom"/>
            <w:textDirection w:val="lrTb"/>
            <w:noWrap/>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按国家规范要求配置消防功能，并设有专门的消防运行状态，在消防状态下由消防员手动运行电梯实行救灾行动；所有电梯须具备消防迫降及信号反馈功能。</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井道照明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负责井道照明并提供底坑爬梯。</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导轨</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主、副均为T型实心导轨；主轨T89及以上（13kg/m 及以上）。</w:t>
            </w:r>
            <w:r/>
          </w:p>
        </w:tc>
      </w:tr>
      <w:tr>
        <w:trPr>
          <w:trHeight w:val="1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直接停靠（节能技术）、 最佳运行曲线自动生成、来电自动恢复运行、轿厢位置自修正、满载直驶、轿内风扇手自动控制、轿内照明自动控制、轿内错误指令取消 、全集选、开门时间可设定、 显示楼层字符可设置、轿内载重补偿、 五方通话、外召按钮粘连去除、 运行计数器、运行计时器、 层高数据自修正、 井道参数自学习、电机参数自学习、 基站锁梯、 自动返基站、消防返基站、电源过电压保护、电动机过流过载保护、 编码器故障保护、 上下行超速保护、运行时间过长保护、轿厢超载保护、 电源缺相错相保护、电动机过热保护、光幕保护、 触点粘</w:t>
            </w:r>
            <w:r>
              <w:rPr>
                <w:rFonts w:ascii="SimSun" w:hAnsi="SimSun" w:eastAsia="SimSun" w:cs="SimSun"/>
                <w:color w:val="000000"/>
                <w:sz w:val="24"/>
              </w:rPr>
              <w:t xml:space="preserve">连保护、运行方向逆转保护、运行终端越程保护、 开门故障它层放客、 轿内应急照明、 报警警铃、 消防状态反馈、故障低速平层、故障记录可查询、 反向指令消除、 非开门区域提供报警。</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以上▲以投标人提供的制造商《特种设备整机型式试验报告》中参数或制造商测试报告或省级及以上第三方检验机构出具的材料的证书为准。</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三、商务要求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1、完工及质保期：</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（1）完工期：合同签订后30个日历天内完成生产，60个日历天内完成安装调试。</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（2）服务期：项目竣工验收合格后进入质量保修期，免费保修期为2年。（自电梯安装验收合格之日起计算）</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3）保修期内，投标人负责对其所提供的全部软件、硬件、设备及系统其它相关部分，进行免费技术服务、维护、维修，免费提供备品、备件服务，不收取额外费用。因人为因素出现的故障，投标人负责对维修只收取配件成本费用。</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（4）保修期外，终身维修，维修只收取配件成本费用。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2、安装调试及培训：</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（1）供应商负责安装调试；</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（2）供应商须提供全套技术手册和维修手册，并负责使用人员的培训，确保相关人员能够正常使用项目涉及产品的所有功能。</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（3）由于项目实施在办公楼内，投标方要充分考虑安全因素。每天施工完成后要及时清理现场，确保不影响后期工作人员出行。施工时投标方必须现场配备安全员，在现场全程监督确保施工安全。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3.调试检测要求：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（1）安装调试完工后，供应商组织自检，协助买方申请特种设备检验机构检测合格后方可移交。检测所需设备由成交供应商提供。</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（2）供应商派遣有丰富经验的工程人员进行检测，并对检测调试错误所导致的设备损坏承担全部赔偿责任。检测调试完毕后，按国家标准验收程序和规程进行验收，双方认可后签字。</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4.售后服务：</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提供24小时服务热线，承诺在系统发生故障30分钟内赶到现场。如果在系统发生故障时间段内，未能及时派技术人员到达现场并进行维修，则由采购人组织专业技术人员维修，由此产生的费用由中标供应商支付。</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5.现场踏勘</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请已获取招标文件的各供应商应前往项目实施地进行现场踏勘，若未参加的现场踏勘，则今后出现与此相关的任何问题由供应商自行承担全部责任和后果。</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李斌联系方式：0511-86923866</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6.报价要求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总价包干，供应商报价包含全部人工、设备、旧梯拆除、电梯井道改造、电梯机房改造、辅助材料、机械、运输、仓储、保险、安装、安全防护、调试、现场协调、设计费、政府验收费、各种税费、劳保、专利技术、技术支持与培训等完成本项目的一切费用。</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 </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注：</w:t>
      </w:r>
      <w:r>
        <w:rPr>
          <w:rFonts w:ascii="SimSun" w:hAnsi="SimSun" w:eastAsia="SimSun" w:cs="SimSun"/>
          <w:b/>
          <w:color w:val="000000"/>
          <w:sz w:val="24"/>
        </w:rPr>
        <w:t xml:space="preserve">1.</w:t>
      </w:r>
      <w:r>
        <w:rPr>
          <w:rFonts w:ascii="Times New Roman" w:hAnsi="Times New Roman" w:eastAsia="Times New Roman" w:cs="Times New Roman"/>
          <w:b/>
          <w:color w:val="000000"/>
          <w:sz w:val="24"/>
        </w:rPr>
        <w:t xml:space="preserve">符号说明：★表示实质性参数，不满足该指标项将导致投标无效；▲表示重要参数，其他为一般参数。</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2.对项目需求部分的询问、质疑请向采购人提出，询问、质疑由采购人负责解释。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第五部分评标办法和标准</w:t>
      </w:r>
      <w:r/>
    </w:p>
    <w:p>
      <w:pPr>
        <w:ind w:left="0" w:right="0" w:firstLine="357"/>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1.采购代理机构职责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采购代理机构负责组织评标工作，并履行下列职责：</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（2）宣布评标纪律；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（3）公布投标人名单，告知评审专家应当回避的情形；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（4）组织评标委员会推选评标组长，采购人代表不得担任组长；</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（5）在评标期间采取必要的通讯管理措施，保证评标活动不受外界干扰；</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（6）根据评标委员会的要求介绍政府采购相关政策法规、招标文件；</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（10）处理与评标有关的其他事项。</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2.评标委员会职责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评标委员会负责具体评标事务，并独立履行下列职责：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（1）审查、评价投标文件是否符合招标文件的商务、技术等实质性要求；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（2）要求投标人对投标文件有关事项作出澄清或者说明；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（3）对投标文件进行比较和评价；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（4）确定中标候选人名单，以及根据采购人委托直接确定中标人；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（5）向采购人、采购代理机构或者有关部门报告评标中发现的违法行为。</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3.评标注意事项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3.1评标时，评标委员会各成员应当独立对每个投标人的投标文件进行评价，并汇总每个投标人的得分。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rPr>
          <w:rFonts w:ascii="SimSun" w:hAnsi="SimSun" w:eastAsia="SimSun" w:cs="SimSun"/>
          <w:b/>
          <w:color w:val="000000"/>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3.3对于投标文件中含义不明确、同类问题表述不一致或者有明显文字和计算错误的内容，评标委员会应当以书面形式要求投标人作出必要的澄清、说明或者补正。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3.5评标委员会及其成员不得有下列行为：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（1）确定参与评标至评标结束前私自接触投标人；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（2）接受投标人提出的与投标文件不一致的澄清或者说明，《政府采购货物和服务招标投标管理办法》（财政部87号令）第五十一条规定的情形除外；</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（3）违反评标纪律发表倾向性意见或者征询采购人的倾向性意见；</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（4）对需要专业判断的主观评审因素协商评分；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（5）在评标过程中擅离职守，影响评标程序正常进行；</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（6）记录、复制或者带走任何评标资料；</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（7）其他不遵守评标纪律的行为。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评标委员会成员有上述第一至五项行为之一的，其评审意见无效，并不得获取评审劳务报酬和报销异地评审差旅费。</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4.评标过程的保密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评标开始后，至向中标的投标人授予合同时止，与审查、澄清、评价和比较投标的有关资料以及授标建议等，均不得向投标人以及与评标无关的其他人员透露。</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rPr>
          <w:rFonts w:ascii="SimSun" w:hAnsi="SimSun" w:eastAsia="SimSun" w:cs="SimSun"/>
          <w:b/>
          <w:color w:val="000000"/>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5.报价前后不一致的处理原则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5.1投标文件报价出现前后不一致的，按照下列规定修正：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同时出现两种以上不一致的，按上述规定排序在先的原则进行修正</w:t>
      </w:r>
      <w:r>
        <w:rPr>
          <w:rFonts w:ascii="SimSun" w:hAnsi="SimSun" w:eastAsia="SimSun" w:cs="SimSun"/>
          <w:color w:val="000000"/>
          <w:sz w:val="24"/>
        </w:rPr>
        <w:t xml:space="preserve">，修正后的报价须经投标人确认后产生约束力，投标人确认应当以书面形式，并加盖公章，或者由法定代表人或其授权代表签字。投标人不确认的，其投标无效。</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6.投标人资格审查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6.1 采用资格后审方式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开标结束后，采购人或代理机构将依法对投标人的资格进行审查。资格审查的内容如下：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5"/>
        <w:gridCol w:w="3947"/>
        <w:gridCol w:w="488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提供法人或者其他组织的营业执照等证明文件扫描件；投标人为自然人的，提供其身份证扫描件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提供2025年度财务报告，成立不满一年的提供至少一个月财务报告，或银行出具的资信证明，或财政部门认可的政府采购专业担保机构出具的投标担保函等；或提供资格承诺函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提供声明函或提供资格承诺函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提供参加本次政府采购活动前半年内（至少一个月）依法缴纳税收和社会保险资金的相关材料；或提供资格承诺函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（1）提供声明函或资格承诺函。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供应商可自行选择是否提供资格承诺函，若不提供资格承诺函的， 应按采购文件要求提供以上 2-5 项相应的证明材料。资格承诺函格式要求见投标文件组成部分。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特定资格条件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（1）投标人如为电梯制造商，须具有《中华人民共和国特种设备制造许可证》（电梯）或《中华人民共和国特种设备生产许可证》（电梯）。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如为电梯经销商或代理商，须具有《中华人民共和国特种设备安装改造维修许可证》（电梯）或《中华人民共和国特种设备生产许可证》（电梯），并同时提供所投电梯制造商的《中华人民共和国特种设备制造许可证》（电梯）或《中华人民共和国特种设备生产许可证》（电梯）。</w:t>
            </w:r>
            <w:r/>
          </w:p>
        </w:tc>
      </w:tr>
    </w:tbl>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7.投标人符合性审查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1626"/>
        <w:gridCol w:w="7084"/>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4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626" w:type="dxa"/>
            <w:vAlign w:val="center"/>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7084" w:type="dxa"/>
            <w:vAlign w:val="center"/>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44" w:type="dxa"/>
            <w:vAlign w:val="center"/>
            <w:vMerge w:val="restart"/>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626"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投标文件有效性</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0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投标文件的有效电子签章。</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0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投标报价。</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0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未发现属无效投标的情形。</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44" w:type="dxa"/>
            <w:vAlign w:val="center"/>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62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对招标文件响应程度</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0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审查投标文件，以确定其是否满足招标文件的实质性要求。不满足招标文件的实质性要求的，投标无效。</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8.本项目采用综合评分法。</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01"/>
        <w:gridCol w:w="2733"/>
        <w:gridCol w:w="2613"/>
        <w:gridCol w:w="2008"/>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7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技术评估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6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商务评估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价格评估</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42.0</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6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28.0</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（一）技术评估</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
        <w:gridCol w:w="625"/>
        <w:gridCol w:w="8273"/>
        <w:gridCol w:w="211"/>
      </w:tblGrid>
      <w:tr>
        <w:trPr>
          <w:trHeight w:val="81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3" w:type="dxa"/>
            <w:vAlign w:val="top"/>
            <w:textDirection w:val="lrTb"/>
            <w:noWrap/>
          </w:tcPr>
          <w:p>
            <w:pPr>
              <w:ind w:left="135" w:right="0" w:firstLine="0"/>
              <w:spacing w:before="157" w:after="1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5" w:type="dxa"/>
            <w:vAlign w:val="top"/>
            <w:textDirection w:val="lrTb"/>
            <w:noWrap/>
          </w:tcPr>
          <w:p>
            <w:pPr>
              <w:ind w:left="183" w:right="154" w:hanging="17"/>
              <w:spacing w:before="157" w:after="157"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2"/>
              </w:rPr>
              <w:t xml:space="preserve">评审</w:t>
            </w:r>
            <w:r>
              <w:rPr>
                <w:rFonts w:ascii="SimSun" w:hAnsi="SimSun" w:eastAsia="SimSun" w:cs="SimSun"/>
                <w:color w:val="000000"/>
                <w:spacing w:val="-13"/>
                <w:sz w:val="22"/>
              </w:rPr>
              <w:t xml:space="preserve">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73" w:type="dxa"/>
            <w:vAlign w:val="top"/>
            <w:textDirection w:val="lrTb"/>
            <w:noWrap/>
          </w:tcPr>
          <w:p>
            <w:pPr>
              <w:ind w:left="3397" w:right="0" w:firstLine="0"/>
              <w:spacing w:before="157" w:after="157"/>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1" w:type="dxa"/>
            <w:vAlign w:val="top"/>
            <w:textDirection w:val="lrTb"/>
            <w:noWrap/>
          </w:tcPr>
          <w:p>
            <w:pPr>
              <w:ind w:left="123" w:right="0" w:firstLine="0"/>
              <w:spacing w:before="157" w:after="157"/>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分值</w:t>
            </w:r>
            <w:r/>
          </w:p>
        </w:tc>
      </w:tr>
      <w:tr>
        <w:trPr>
          <w:trHeight w:val="509"/>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31" w:type="dxa"/>
            <w:vAlign w:val="top"/>
            <w:textDirection w:val="lrTb"/>
            <w:noWrap/>
          </w:tcPr>
          <w:p>
            <w:pPr>
              <w:ind w:left="4064" w:right="0" w:firstLine="0"/>
              <w:spacing w:before="157" w:after="157"/>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技术部分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 w:type="dxa"/>
            <w:vAlign w:val="top"/>
            <w:textDirection w:val="lrTb"/>
            <w:noWrap/>
          </w:tcPr>
          <w:p>
            <w:pPr>
              <w:ind w:left="123" w:right="0" w:firstLine="0"/>
              <w:spacing w:before="157" w:after="157"/>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2"/>
              </w:rPr>
              <w:t xml:space="preserve">42.</w:t>
            </w:r>
            <w:r>
              <w:rPr>
                <w:rFonts w:ascii="Times New Roman" w:hAnsi="Times New Roman" w:eastAsia="Times New Roman" w:cs="Times New Roman"/>
                <w:color w:val="000000"/>
                <w:spacing w:val="-3"/>
                <w:sz w:val="21"/>
              </w:rPr>
              <w:t xml:space="preserve">0</w:t>
            </w:r>
            <w:r/>
          </w:p>
        </w:tc>
      </w:tr>
      <w:tr>
        <w:trPr>
          <w:trHeight w:val="8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 w:type="dxa"/>
            <w:vAlign w:val="center"/>
            <w:textDirection w:val="lrTb"/>
            <w:noWrap/>
          </w:tcPr>
          <w:p>
            <w:pPr>
              <w:ind w:left="0" w:right="0" w:firstLine="0"/>
              <w:jc w:val="center"/>
              <w:spacing w:before="157" w:after="157"/>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1"/>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5" w:type="dxa"/>
            <w:vAlign w:val="center"/>
            <w:textDirection w:val="lrTb"/>
            <w:noWrap/>
          </w:tcPr>
          <w:p>
            <w:pPr>
              <w:ind w:left="0" w:right="154" w:firstLine="0"/>
              <w:jc w:val="center"/>
              <w:spacing w:before="157" w:after="157"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2"/>
              </w:rPr>
              <w:t xml:space="preserve">技术参数的响</w:t>
            </w:r>
            <w:r>
              <w:rPr>
                <w:rFonts w:ascii="SimSun" w:hAnsi="SimSun" w:eastAsia="SimSun" w:cs="SimSun"/>
                <w:color w:val="000000"/>
                <w:spacing w:val="32"/>
                <w:sz w:val="22"/>
              </w:rPr>
              <w:t xml:space="preserve">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73" w:type="dxa"/>
            <w:vAlign w:val="center"/>
            <w:textDirection w:val="lrTb"/>
            <w:noWrap/>
          </w:tcPr>
          <w:p>
            <w:pPr>
              <w:ind w:left="0" w:right="0" w:firstLine="0"/>
              <w:jc w:val="both"/>
              <w:spacing w:before="157" w:after="1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1）针对采购文件对设备技术要求的描述，根据各供应商提交的投标文件中的产品</w:t>
            </w:r>
            <w:r/>
          </w:p>
          <w:p>
            <w:pPr>
              <w:ind w:left="0" w:right="0" w:firstLine="0"/>
              <w:jc w:val="center"/>
              <w:spacing w:before="157" w:after="1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相关描述对采购文件技术标“▲”的功能及技术参数进行评审，有一项负偏离扣3分；（共30分）（须提供的制造商《特种设备整机型式试验报告》中参数或样册或省级及以上第三方检验机构出具的材料的证书复印件加盖投标人公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1" w:type="dxa"/>
            <w:vAlign w:val="center"/>
            <w:textDirection w:val="lrTb"/>
            <w:noWrap/>
          </w:tcPr>
          <w:p>
            <w:pPr>
              <w:ind w:left="0" w:right="0" w:firstLine="0"/>
              <w:jc w:val="center"/>
              <w:spacing w:before="157" w:after="157"/>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2"/>
              </w:rPr>
              <w:t xml:space="preserve">30</w:t>
            </w:r>
            <w:r>
              <w:rPr>
                <w:rFonts w:ascii="Times New Roman" w:hAnsi="Times New Roman" w:eastAsia="Times New Roman" w:cs="Times New Roman"/>
                <w:color w:val="000000"/>
                <w:spacing w:val="-5"/>
                <w:sz w:val="21"/>
              </w:rPr>
              <w:t xml:space="preserve">.0</w:t>
            </w:r>
            <w:r/>
          </w:p>
        </w:tc>
      </w:tr>
      <w:tr>
        <w:trPr>
          <w:trHeight w:val="41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 w:type="dxa"/>
            <w:vAlign w:val="center"/>
            <w:textDirection w:val="lrTb"/>
            <w:noWrap/>
          </w:tcPr>
          <w:p>
            <w:pPr>
              <w:ind w:left="143" w:right="0" w:firstLine="0"/>
              <w:jc w:val="center"/>
              <w:spacing w:before="157" w:after="157"/>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1"/>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5" w:type="dxa"/>
            <w:vAlign w:val="center"/>
            <w:textDirection w:val="lrTb"/>
            <w:noWrap/>
          </w:tcPr>
          <w:p>
            <w:pPr>
              <w:ind w:left="168" w:right="154" w:firstLine="0"/>
              <w:jc w:val="center"/>
              <w:spacing w:before="157" w:after="157"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2"/>
              </w:rPr>
              <w:t xml:space="preserve">主要</w:t>
            </w:r>
            <w:r>
              <w:rPr>
                <w:rFonts w:ascii="SimSun" w:hAnsi="SimSun" w:eastAsia="SimSun" w:cs="SimSun"/>
                <w:color w:val="000000"/>
                <w:spacing w:val="-6"/>
                <w:sz w:val="22"/>
              </w:rPr>
              <w:t xml:space="preserve">部件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73" w:type="dxa"/>
            <w:vAlign w:val="top"/>
            <w:textDirection w:val="lrTb"/>
            <w:noWrap/>
          </w:tcPr>
          <w:p>
            <w:pPr>
              <w:ind w:left="0" w:right="0" w:firstLine="0"/>
              <w:spacing w:before="157" w:after="157"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1"/>
              </w:rPr>
              <w:t xml:space="preserve">1</w:t>
            </w:r>
            <w:r>
              <w:rPr>
                <w:rFonts w:ascii="SimSun" w:hAnsi="SimSun" w:eastAsia="SimSun" w:cs="SimSun"/>
                <w:color w:val="000000"/>
                <w:spacing w:val="-4"/>
                <w:sz w:val="22"/>
              </w:rPr>
              <w:t xml:space="preserve">）客梯驱动主机与控制系统与电梯整梯为同一品牌的得</w:t>
            </w:r>
            <w:r>
              <w:rPr>
                <w:rFonts w:ascii="Times New Roman" w:hAnsi="Times New Roman" w:eastAsia="Times New Roman" w:cs="Times New Roman"/>
                <w:color w:val="000000"/>
                <w:spacing w:val="-4"/>
                <w:sz w:val="22"/>
              </w:rPr>
              <w:t xml:space="preserve">2</w:t>
            </w:r>
            <w:r>
              <w:rPr>
                <w:rFonts w:ascii="SimSun" w:hAnsi="SimSun" w:eastAsia="SimSun" w:cs="SimSun"/>
                <w:color w:val="000000"/>
                <w:spacing w:val="-4"/>
                <w:sz w:val="22"/>
              </w:rPr>
              <w:t xml:space="preserve">分，否则不得分。</w:t>
            </w:r>
            <w:r>
              <w:rPr>
                <w:rFonts w:ascii="SimSun" w:hAnsi="SimSun" w:eastAsia="SimSun" w:cs="SimSun"/>
                <w:color w:val="000000"/>
                <w:spacing w:val="-1"/>
                <w:sz w:val="22"/>
              </w:rPr>
              <w:t xml:space="preserve">（须提供整机型式试验报告扫描件或复印件加盖投标人公章，不提供不得分）</w:t>
            </w:r>
            <w:r/>
          </w:p>
          <w:p>
            <w:pPr>
              <w:ind w:left="0" w:right="0" w:firstLine="0"/>
              <w:spacing w:before="157" w:after="157"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2"/>
              </w:rPr>
              <w:t xml:space="preserve">2</w:t>
            </w:r>
            <w:r>
              <w:rPr>
                <w:rFonts w:ascii="SimSun" w:hAnsi="SimSun" w:eastAsia="SimSun" w:cs="SimSun"/>
                <w:color w:val="000000"/>
                <w:spacing w:val="-3"/>
                <w:sz w:val="22"/>
              </w:rPr>
              <w:t xml:space="preserve">）</w:t>
            </w:r>
            <w:r>
              <w:rPr>
                <w:rFonts w:ascii="SimSun" w:hAnsi="SimSun" w:eastAsia="SimSun" w:cs="SimSun"/>
                <w:color w:val="000000"/>
                <w:spacing w:val="-4"/>
                <w:sz w:val="22"/>
              </w:rPr>
              <w:t xml:space="preserve">客梯</w:t>
            </w:r>
            <w:r>
              <w:rPr>
                <w:rFonts w:ascii="SimSun" w:hAnsi="SimSun" w:eastAsia="SimSun" w:cs="SimSun"/>
                <w:color w:val="000000"/>
                <w:spacing w:val="-3"/>
                <w:sz w:val="22"/>
              </w:rPr>
              <w:t xml:space="preserve">包覆带</w:t>
            </w:r>
            <w:r>
              <w:rPr>
                <w:rFonts w:ascii="SimSun" w:hAnsi="SimSun" w:eastAsia="SimSun" w:cs="SimSun"/>
                <w:color w:val="000000"/>
                <w:spacing w:val="-4"/>
                <w:sz w:val="22"/>
              </w:rPr>
              <w:t xml:space="preserve">与电梯整梯为同一品牌</w:t>
            </w:r>
            <w:r>
              <w:rPr>
                <w:rFonts w:ascii="SimSun" w:hAnsi="SimSun" w:eastAsia="SimSun" w:cs="SimSun"/>
                <w:color w:val="000000"/>
                <w:spacing w:val="-3"/>
                <w:sz w:val="22"/>
              </w:rPr>
              <w:t xml:space="preserve">的得</w:t>
            </w:r>
            <w:r>
              <w:rPr>
                <w:rFonts w:ascii="Times New Roman" w:hAnsi="Times New Roman" w:eastAsia="Times New Roman" w:cs="Times New Roman"/>
                <w:color w:val="000000"/>
                <w:spacing w:val="-3"/>
                <w:sz w:val="21"/>
              </w:rPr>
              <w:t xml:space="preserve">2</w:t>
            </w:r>
            <w:r>
              <w:rPr>
                <w:rFonts w:ascii="SimSun" w:hAnsi="SimSun" w:eastAsia="SimSun" w:cs="SimSun"/>
                <w:color w:val="000000"/>
                <w:spacing w:val="-3"/>
                <w:sz w:val="22"/>
              </w:rPr>
              <w:t xml:space="preserve">分，否则不得分。</w:t>
            </w:r>
            <w:r>
              <w:rPr>
                <w:rFonts w:ascii="SimSun" w:hAnsi="SimSun" w:eastAsia="SimSun" w:cs="SimSun"/>
                <w:color w:val="000000"/>
                <w:spacing w:val="-1"/>
                <w:sz w:val="22"/>
              </w:rPr>
              <w:t xml:space="preserve">（须提供整机型式试验报告扫描件或复印件加盖投标人公章，不提供不得分）</w:t>
            </w:r>
            <w:r/>
          </w:p>
          <w:p>
            <w:pPr>
              <w:ind w:left="0" w:right="0" w:firstLine="0"/>
              <w:spacing w:before="157" w:after="157"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
                <w:sz w:val="22"/>
              </w:rPr>
              <w:t xml:space="preserve">3</w:t>
            </w:r>
            <w:r>
              <w:rPr>
                <w:rFonts w:ascii="SimSun" w:hAnsi="SimSun" w:eastAsia="SimSun" w:cs="SimSun"/>
                <w:color w:val="000000"/>
                <w:spacing w:val="-1"/>
                <w:sz w:val="22"/>
              </w:rPr>
              <w:t xml:space="preserve">）所投型号客梯的外召唤、操纵箱、轿顶集成箱达到防水等级</w:t>
            </w:r>
            <w:r>
              <w:rPr>
                <w:rFonts w:ascii="Times New Roman" w:hAnsi="Times New Roman" w:eastAsia="Times New Roman" w:cs="Times New Roman"/>
                <w:color w:val="000000"/>
                <w:spacing w:val="-1"/>
                <w:sz w:val="22"/>
              </w:rPr>
              <w:t xml:space="preserve">IPX3</w:t>
            </w:r>
            <w:r>
              <w:rPr>
                <w:rFonts w:ascii="SimSun" w:hAnsi="SimSun" w:eastAsia="SimSun" w:cs="SimSun"/>
                <w:color w:val="000000"/>
                <w:spacing w:val="-1"/>
                <w:sz w:val="22"/>
              </w:rPr>
              <w:t xml:space="preserve">的，每有一个满足的得</w:t>
            </w:r>
            <w:r>
              <w:rPr>
                <w:rFonts w:ascii="Times New Roman" w:hAnsi="Times New Roman" w:eastAsia="Times New Roman" w:cs="Times New Roman"/>
                <w:color w:val="000000"/>
                <w:spacing w:val="-1"/>
                <w:sz w:val="22"/>
              </w:rPr>
              <w:t xml:space="preserve">2</w:t>
            </w:r>
            <w:r>
              <w:rPr>
                <w:rFonts w:ascii="SimSun" w:hAnsi="SimSun" w:eastAsia="SimSun" w:cs="SimSun"/>
                <w:color w:val="000000"/>
                <w:spacing w:val="-1"/>
                <w:sz w:val="22"/>
              </w:rPr>
              <w:t xml:space="preserve">分，最高得</w:t>
            </w:r>
            <w:r>
              <w:rPr>
                <w:rFonts w:ascii="Times New Roman" w:hAnsi="Times New Roman" w:eastAsia="Times New Roman" w:cs="Times New Roman"/>
                <w:color w:val="000000"/>
                <w:spacing w:val="-1"/>
                <w:sz w:val="22"/>
              </w:rPr>
              <w:t xml:space="preserve">6</w:t>
            </w:r>
            <w:r>
              <w:rPr>
                <w:rFonts w:ascii="SimSun" w:hAnsi="SimSun" w:eastAsia="SimSun" w:cs="SimSun"/>
                <w:color w:val="000000"/>
                <w:spacing w:val="-1"/>
                <w:sz w:val="22"/>
              </w:rPr>
              <w:t xml:space="preserve">分。（提供国家认可的检测机构出具的检测报告扫描件或复印件加盖投标人公章，不提供不得分）</w:t>
            </w:r>
            <w:r/>
          </w:p>
          <w:p>
            <w:pPr>
              <w:ind w:left="0" w:right="0" w:firstLine="0"/>
              <w:spacing w:before="157" w:after="157"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
                <w:sz w:val="22"/>
              </w:rPr>
              <w:t xml:space="preserve">4</w:t>
            </w:r>
            <w:r>
              <w:rPr>
                <w:rFonts w:ascii="SimSun" w:hAnsi="SimSun" w:eastAsia="SimSun" w:cs="SimSun"/>
                <w:color w:val="000000"/>
                <w:spacing w:val="-1"/>
                <w:sz w:val="22"/>
              </w:rPr>
              <w:t xml:space="preserve">）所投型号客梯的门机达到防护等级</w:t>
            </w:r>
            <w:r>
              <w:rPr>
                <w:rFonts w:ascii="Times New Roman" w:hAnsi="Times New Roman" w:eastAsia="Times New Roman" w:cs="Times New Roman"/>
                <w:color w:val="000000"/>
                <w:spacing w:val="-1"/>
                <w:sz w:val="22"/>
              </w:rPr>
              <w:t xml:space="preserve">IP65</w:t>
            </w:r>
            <w:r>
              <w:rPr>
                <w:rFonts w:ascii="SimSun" w:hAnsi="SimSun" w:eastAsia="SimSun" w:cs="SimSun"/>
                <w:color w:val="000000"/>
                <w:spacing w:val="-1"/>
                <w:sz w:val="22"/>
              </w:rPr>
              <w:t xml:space="preserve">的得</w:t>
            </w:r>
            <w:r>
              <w:rPr>
                <w:rFonts w:ascii="Times New Roman" w:hAnsi="Times New Roman" w:eastAsia="Times New Roman" w:cs="Times New Roman"/>
                <w:color w:val="000000"/>
                <w:spacing w:val="-1"/>
                <w:sz w:val="22"/>
              </w:rPr>
              <w:t xml:space="preserve">2</w:t>
            </w:r>
            <w:r>
              <w:rPr>
                <w:rFonts w:ascii="SimSun" w:hAnsi="SimSun" w:eastAsia="SimSun" w:cs="SimSun"/>
                <w:color w:val="000000"/>
                <w:spacing w:val="-1"/>
                <w:sz w:val="22"/>
              </w:rPr>
              <w:t xml:space="preserve">分。（提供国家认可的检测机构出具的检测报告扫描件或复印件加盖投标人公章，不提供不得分）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 w:type="dxa"/>
            <w:vAlign w:val="center"/>
            <w:textDirection w:val="lrTb"/>
            <w:noWrap/>
          </w:tcPr>
          <w:p>
            <w:pPr>
              <w:ind w:left="136" w:right="0" w:firstLine="0"/>
              <w:jc w:val="center"/>
              <w:spacing w:before="157" w:after="157"/>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2"/>
              </w:rPr>
              <w:t xml:space="preserve">12</w:t>
            </w:r>
            <w:r>
              <w:rPr>
                <w:rFonts w:ascii="Times New Roman" w:hAnsi="Times New Roman" w:eastAsia="Times New Roman" w:cs="Times New Roman"/>
                <w:color w:val="000000"/>
                <w:spacing w:val="-5"/>
                <w:sz w:val="21"/>
              </w:rPr>
              <w:t xml:space="preserve">.0</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 商务评估</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9"/>
        <w:gridCol w:w="267"/>
        <w:gridCol w:w="8819"/>
        <w:gridCol w:w="123"/>
      </w:tblGrid>
      <w:tr>
        <w:trPr>
          <w:trHeight w:val="81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9" w:type="dxa"/>
            <w:vAlign w:val="top"/>
            <w:textDirection w:val="lrTb"/>
            <w:noWrap/>
          </w:tcPr>
          <w:p>
            <w:pPr>
              <w:ind w:left="135" w:right="0" w:firstLine="0"/>
              <w:spacing w:before="1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7" w:type="dxa"/>
            <w:vAlign w:val="top"/>
            <w:textDirection w:val="lrTb"/>
            <w:noWrap/>
          </w:tcPr>
          <w:p>
            <w:pPr>
              <w:ind w:left="198" w:right="184" w:hanging="17"/>
              <w:spacing w:before="135" w:after="24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2"/>
              </w:rPr>
              <w:t xml:space="preserve">评审</w:t>
            </w:r>
            <w:r>
              <w:rPr>
                <w:rFonts w:ascii="SimSun" w:hAnsi="SimSun" w:eastAsia="SimSun" w:cs="SimSun"/>
                <w:color w:val="000000"/>
                <w:spacing w:val="-13"/>
                <w:sz w:val="22"/>
              </w:rPr>
              <w:t xml:space="preserve">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19" w:type="dxa"/>
            <w:vAlign w:val="top"/>
            <w:textDirection w:val="lrTb"/>
            <w:noWrap/>
          </w:tcPr>
          <w:p>
            <w:pPr>
              <w:ind w:left="3367" w:right="0" w:firstLine="0"/>
              <w:spacing w:before="285"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3" w:type="dxa"/>
            <w:vAlign w:val="top"/>
            <w:textDirection w:val="lrTb"/>
            <w:noWrap/>
          </w:tcPr>
          <w:p>
            <w:pPr>
              <w:ind w:left="123" w:right="0" w:firstLine="0"/>
              <w:spacing w:before="28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分值</w:t>
            </w:r>
            <w:r/>
          </w:p>
        </w:tc>
      </w:tr>
      <w:tr>
        <w:trPr>
          <w:trHeight w:val="509"/>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25" w:type="dxa"/>
            <w:vAlign w:val="top"/>
            <w:textDirection w:val="lrTb"/>
            <w:noWrap/>
          </w:tcPr>
          <w:p>
            <w:pPr>
              <w:ind w:left="3856" w:right="0" w:firstLine="0"/>
              <w:spacing w:before="12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履约能力评价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 w:type="dxa"/>
            <w:vAlign w:val="top"/>
            <w:textDirection w:val="lrTb"/>
            <w:noWrap/>
          </w:tcPr>
          <w:p>
            <w:pPr>
              <w:ind w:left="136" w:right="0" w:firstLine="0"/>
              <w:spacing w:before="128"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2"/>
              </w:rPr>
              <w:t xml:space="preserve">28.0</w:t>
            </w:r>
            <w:r/>
          </w:p>
        </w:tc>
      </w:tr>
      <w:tr>
        <w:trPr>
          <w:trHeight w:val="137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 w:type="dxa"/>
            <w:vAlign w:val="center"/>
            <w:vMerge w:val="restart"/>
            <w:textDirection w:val="lrTb"/>
            <w:noWrap/>
          </w:tcPr>
          <w:p>
            <w:pPr>
              <w:ind w:left="143" w:right="0" w:firstLine="0"/>
              <w:jc w:val="both"/>
              <w:spacing w:before="68"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2"/>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 w:type="dxa"/>
            <w:vAlign w:val="center"/>
            <w:vMerge w:val="restart"/>
            <w:textDirection w:val="lrTb"/>
            <w:noWrap/>
          </w:tcPr>
          <w:p>
            <w:pPr>
              <w:ind w:left="0" w:right="154" w:firstLine="0"/>
              <w:jc w:val="center"/>
              <w:spacing w:before="157" w:after="157"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2"/>
              </w:rPr>
              <w:t xml:space="preserve">实施</w:t>
            </w:r>
            <w:r>
              <w:rPr>
                <w:rFonts w:ascii="SimSun" w:hAnsi="SimSun" w:eastAsia="SimSun" w:cs="SimSun"/>
                <w:color w:val="000000"/>
                <w:spacing w:val="-5"/>
                <w:sz w:val="22"/>
              </w:rPr>
              <w:t xml:space="preserve">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19" w:type="dxa"/>
            <w:vAlign w:val="top"/>
            <w:textDirection w:val="lrTb"/>
            <w:noWrap/>
          </w:tcPr>
          <w:p>
            <w:pPr>
              <w:ind w:left="0" w:right="0" w:firstLine="0"/>
              <w:spacing w:before="157" w:after="1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投标人提供针对本项目制定的安装方案，考察方案是否包含：</w:t>
            </w:r>
            <w:r>
              <w:rPr>
                <w:rFonts w:ascii="SimSun" w:hAnsi="SimSun" w:eastAsia="SimSun" w:cs="SimSun"/>
                <w:color w:val="000000"/>
                <w:spacing w:val="-2"/>
                <w:sz w:val="22"/>
              </w:rPr>
              <w:t xml:space="preserve">组织方案及进度计划、安装质量保证措施、安装应急预案。上述每项应逐条叙述，方案中每提供一项内容且符合服务需求的，得</w:t>
            </w:r>
            <w:r>
              <w:rPr>
                <w:rFonts w:ascii="Times New Roman" w:hAnsi="Times New Roman" w:eastAsia="Times New Roman" w:cs="Times New Roman"/>
                <w:color w:val="000000"/>
                <w:spacing w:val="-2"/>
                <w:sz w:val="21"/>
              </w:rPr>
              <w:t xml:space="preserve">1</w:t>
            </w:r>
            <w:r>
              <w:rPr>
                <w:rFonts w:ascii="SimSun" w:hAnsi="SimSun" w:eastAsia="SimSun" w:cs="SimSun"/>
                <w:color w:val="000000"/>
                <w:spacing w:val="-2"/>
                <w:sz w:val="22"/>
              </w:rPr>
              <w:t xml:space="preserve">分，最高得</w:t>
            </w:r>
            <w:r>
              <w:rPr>
                <w:rFonts w:ascii="Times New Roman" w:hAnsi="Times New Roman" w:eastAsia="Times New Roman" w:cs="Times New Roman"/>
                <w:color w:val="000000"/>
                <w:spacing w:val="-2"/>
                <w:sz w:val="22"/>
              </w:rPr>
              <w:t xml:space="preserve">3</w:t>
            </w:r>
            <w:r>
              <w:rPr>
                <w:rFonts w:ascii="SimSun" w:hAnsi="SimSun" w:eastAsia="SimSun" w:cs="SimSun"/>
                <w:color w:val="000000"/>
                <w:spacing w:val="-2"/>
                <w:sz w:val="22"/>
              </w:rPr>
              <w:t xml:space="preserve">分。每有一项存在涉及的规范及标准错误，地点区域错误，内容缺项、表述不完整，内容存在逻辑漏洞、常识错误，方案内容表述前后矛盾，方案内容不适用本项目特性，非专门针对本项目制定等情形的，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3" w:type="dxa"/>
            <w:vAlign w:val="center"/>
            <w:textDirection w:val="lrTb"/>
            <w:noWrap/>
          </w:tcPr>
          <w:p>
            <w:pPr>
              <w:ind w:left="169" w:right="0" w:firstLine="0"/>
              <w:jc w:val="center"/>
              <w:spacing w:before="157" w:after="1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137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9" w:type="dxa"/>
            <w:vAlign w:val="top"/>
            <w:textDirection w:val="lrTb"/>
            <w:noWrap/>
          </w:tcPr>
          <w:p>
            <w:pPr>
              <w:ind w:left="0" w:right="0" w:firstLine="0"/>
              <w:spacing w:before="157" w:after="1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投标人提供针对本项目制定的安装保障方案，考察方案是否包含：</w:t>
            </w:r>
            <w:r>
              <w:rPr>
                <w:rFonts w:ascii="SimSun" w:hAnsi="SimSun" w:eastAsia="SimSun" w:cs="SimSun"/>
                <w:color w:val="000000"/>
                <w:spacing w:val="-2"/>
                <w:sz w:val="22"/>
              </w:rPr>
              <w:t xml:space="preserve">文明施工保障体系、施工资料管理、检测方案。上述每项应逐条叙述，方案中每提供一项内容且符合服务需求的，得</w:t>
            </w:r>
            <w:r>
              <w:rPr>
                <w:rFonts w:ascii="Times New Roman" w:hAnsi="Times New Roman" w:eastAsia="Times New Roman" w:cs="Times New Roman"/>
                <w:color w:val="000000"/>
                <w:spacing w:val="-2"/>
                <w:sz w:val="21"/>
              </w:rPr>
              <w:t xml:space="preserve">1</w:t>
            </w:r>
            <w:r>
              <w:rPr>
                <w:rFonts w:ascii="SimSun" w:hAnsi="SimSun" w:eastAsia="SimSun" w:cs="SimSun"/>
                <w:color w:val="000000"/>
                <w:spacing w:val="-2"/>
                <w:sz w:val="22"/>
              </w:rPr>
              <w:t xml:space="preserve">分，最高得</w:t>
            </w:r>
            <w:r>
              <w:rPr>
                <w:rFonts w:ascii="Times New Roman" w:hAnsi="Times New Roman" w:eastAsia="Times New Roman" w:cs="Times New Roman"/>
                <w:color w:val="000000"/>
                <w:spacing w:val="-2"/>
                <w:sz w:val="22"/>
              </w:rPr>
              <w:t xml:space="preserve">3</w:t>
            </w:r>
            <w:r>
              <w:rPr>
                <w:rFonts w:ascii="SimSun" w:hAnsi="SimSun" w:eastAsia="SimSun" w:cs="SimSun"/>
                <w:color w:val="000000"/>
                <w:spacing w:val="-2"/>
                <w:sz w:val="22"/>
              </w:rPr>
              <w:t xml:space="preserve">分。每有一项存在涉及的规范及标准错误，地点区域错误，内容缺项、表述不完整，内容存在逻辑漏洞、常识错误，方案内容表述前后矛盾，方案内容不适用本项目特性，非专门针对本项目制定等情形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 w:type="dxa"/>
            <w:vAlign w:val="center"/>
            <w:textDirection w:val="lrTb"/>
            <w:noWrap/>
          </w:tcPr>
          <w:p>
            <w:pPr>
              <w:ind w:left="169" w:right="0" w:firstLine="0"/>
              <w:jc w:val="center"/>
              <w:spacing w:before="157" w:after="1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6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 w:type="dxa"/>
            <w:vAlign w:val="center"/>
            <w:vMerge w:val="restart"/>
            <w:textDirection w:val="lrTb"/>
            <w:noWrap/>
          </w:tcPr>
          <w:p>
            <w:pPr>
              <w:ind w:left="143" w:right="0" w:firstLine="0"/>
              <w:jc w:val="both"/>
              <w:spacing w:before="68"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2"/>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 w:type="dxa"/>
            <w:vAlign w:val="center"/>
            <w:vMerge w:val="restart"/>
            <w:textDirection w:val="lrTb"/>
            <w:noWrap/>
          </w:tcPr>
          <w:p>
            <w:pPr>
              <w:ind w:left="0" w:right="154" w:firstLine="0"/>
              <w:jc w:val="center"/>
              <w:spacing w:before="157" w:after="157"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售后服务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9" w:type="dxa"/>
            <w:vAlign w:val="top"/>
            <w:textDirection w:val="lrTb"/>
            <w:noWrap/>
          </w:tcPr>
          <w:p>
            <w:pPr>
              <w:ind w:left="0" w:right="0" w:firstLine="0"/>
              <w:spacing w:before="157" w:after="1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投标人提供针对本项目制定的维保方案，考察方案是否包含：维修保养方案、售后服务体系及范围、应急响应时间措施。上述每项应逐条叙述，方案中每提供一项内容且符合服务需求的，得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分，最高得</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每有一项存在涉及的规范及标准错误，地点区域错误，内容缺项、表述不完整，内容存在逻辑漏洞、常识错误，方案内容表述前后矛盾，方案内容不适用本项目特性，非专门针对本项目制定等情形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 w:type="dxa"/>
            <w:vAlign w:val="center"/>
            <w:textDirection w:val="lrTb"/>
            <w:noWrap/>
          </w:tcPr>
          <w:p>
            <w:pPr>
              <w:ind w:left="169" w:right="0" w:firstLine="0"/>
              <w:jc w:val="center"/>
              <w:spacing w:before="157" w:after="1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133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9" w:type="dxa"/>
            <w:vAlign w:val="top"/>
            <w:textDirection w:val="lrTb"/>
            <w:noWrap/>
          </w:tcPr>
          <w:p>
            <w:pPr>
              <w:ind w:left="0" w:right="0" w:firstLine="0"/>
              <w:spacing w:before="157" w:after="1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投标人提供针对本项目制定的故障应急处理方案，考察方案是否包含：故障解决方案、应急处理方案、专业技术人员保障。上述每项应逐条叙述，方案中每提供一项内容且符合服务需求的，得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分，最高得</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每有一项存在涉及的规范及标准错误，地点区域错误，内容缺项、表述不完整，内容存在逻辑漏洞、常识错误，方案内容表述前后矛盾，方案内容不适用本项目特性，非专门针对本项目制定等情形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 w:type="dxa"/>
            <w:vAlign w:val="center"/>
            <w:textDirection w:val="lrTb"/>
            <w:noWrap/>
          </w:tcPr>
          <w:p>
            <w:pPr>
              <w:ind w:left="169" w:right="0" w:firstLine="0"/>
              <w:jc w:val="center"/>
              <w:spacing w:before="157" w:after="1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15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 w:type="dxa"/>
            <w:vAlign w:val="center"/>
            <w:textDirection w:val="lrTb"/>
            <w:noWrap/>
          </w:tcPr>
          <w:p>
            <w:pPr>
              <w:ind w:left="143" w:right="0" w:firstLine="0"/>
              <w:jc w:val="both"/>
              <w:spacing w:before="68"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2"/>
              </w:rPr>
              <w:t xml:space="preserve">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 w:type="dxa"/>
            <w:vAlign w:val="center"/>
            <w:textDirection w:val="lrTb"/>
            <w:noWrap/>
          </w:tcPr>
          <w:p>
            <w:pPr>
              <w:ind w:left="114" w:right="0" w:firstLine="0"/>
              <w:jc w:val="both"/>
              <w:spacing w:before="4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电梯责任险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9" w:type="dxa"/>
            <w:vAlign w:val="center"/>
            <w:textDirection w:val="lrTb"/>
            <w:noWrap/>
          </w:tcPr>
          <w:p>
            <w:pPr>
              <w:ind w:left="0" w:right="0" w:firstLine="0"/>
              <w:jc w:val="both"/>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所投型号电梯制造商为其产品投保了电梯责任保险的得</w:t>
            </w:r>
            <w:r>
              <w:rPr>
                <w:rFonts w:ascii="Times New Roman" w:hAnsi="Times New Roman" w:eastAsia="Times New Roman" w:cs="Times New Roman"/>
                <w:color w:val="000000"/>
                <w:spacing w:val="-1"/>
                <w:sz w:val="22"/>
              </w:rPr>
              <w:t xml:space="preserve">1</w:t>
            </w:r>
            <w:r>
              <w:rPr>
                <w:rFonts w:ascii="SimSun" w:hAnsi="SimSun" w:eastAsia="SimSun" w:cs="SimSun"/>
                <w:color w:val="000000"/>
                <w:spacing w:val="-1"/>
                <w:sz w:val="22"/>
              </w:rPr>
              <w:t xml:space="preserve">分，每次事故赔偿额≥</w:t>
            </w:r>
            <w:r>
              <w:rPr>
                <w:rFonts w:ascii="Times New Roman" w:hAnsi="Times New Roman" w:eastAsia="Times New Roman" w:cs="Times New Roman"/>
                <w:color w:val="000000"/>
                <w:spacing w:val="-1"/>
                <w:sz w:val="22"/>
              </w:rPr>
              <w:t xml:space="preserve">1000</w:t>
            </w:r>
            <w:r>
              <w:rPr>
                <w:rFonts w:ascii="SimSun" w:hAnsi="SimSun" w:eastAsia="SimSun" w:cs="SimSun"/>
                <w:color w:val="000000"/>
                <w:spacing w:val="-1"/>
                <w:sz w:val="22"/>
              </w:rPr>
              <w:t xml:space="preserve">万的得</w:t>
            </w:r>
            <w:r>
              <w:rPr>
                <w:rFonts w:ascii="Times New Roman" w:hAnsi="Times New Roman" w:eastAsia="Times New Roman" w:cs="Times New Roman"/>
                <w:color w:val="000000"/>
                <w:spacing w:val="-1"/>
                <w:sz w:val="22"/>
              </w:rPr>
              <w:t xml:space="preserve">1</w:t>
            </w:r>
            <w:r>
              <w:rPr>
                <w:rFonts w:ascii="SimSun" w:hAnsi="SimSun" w:eastAsia="SimSun" w:cs="SimSun"/>
                <w:color w:val="000000"/>
                <w:spacing w:val="-1"/>
                <w:sz w:val="22"/>
              </w:rPr>
              <w:t xml:space="preserve">分，本项最高</w:t>
            </w:r>
            <w:r>
              <w:rPr>
                <w:rFonts w:ascii="Times New Roman" w:hAnsi="Times New Roman" w:eastAsia="Times New Roman" w:cs="Times New Roman"/>
                <w:color w:val="000000"/>
                <w:spacing w:val="-1"/>
                <w:sz w:val="22"/>
              </w:rPr>
              <w:t xml:space="preserve">2</w:t>
            </w:r>
            <w:r>
              <w:rPr>
                <w:rFonts w:ascii="SimSun" w:hAnsi="SimSun" w:eastAsia="SimSun" w:cs="SimSun"/>
                <w:color w:val="000000"/>
                <w:spacing w:val="-1"/>
                <w:sz w:val="22"/>
              </w:rPr>
              <w:t xml:space="preserve">分。</w:t>
            </w:r>
            <w:r/>
          </w:p>
          <w:p>
            <w:pPr>
              <w:ind w:left="0" w:right="0" w:firstLine="0"/>
              <w:jc w:val="both"/>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（须提供保单复印件或扫描件。以上证明材料应加盖投标人公章，未按要求提供不得分。）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 w:type="dxa"/>
            <w:vAlign w:val="center"/>
            <w:textDirection w:val="lrTb"/>
            <w:noWrap/>
          </w:tcPr>
          <w:p>
            <w:pPr>
              <w:ind w:left="169" w:right="0" w:firstLine="0"/>
              <w:jc w:val="both"/>
              <w:spacing w:before="68"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2"/>
              </w:rPr>
              <w:t xml:space="preserve">2.0</w:t>
            </w:r>
            <w:r/>
          </w:p>
        </w:tc>
      </w:tr>
      <w:tr>
        <w:trPr>
          <w:trHeight w:val="8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 w:type="dxa"/>
            <w:vAlign w:val="top"/>
            <w:textDirection w:val="lrTb"/>
            <w:noWrap/>
          </w:tcPr>
          <w:p>
            <w:pPr>
              <w:ind w:left="143" w:right="0" w:firstLine="0"/>
              <w:spacing w:before="28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1"/>
              </w:rPr>
              <w:t xml:space="preserve">1.</w:t>
            </w:r>
            <w:r>
              <w:rPr>
                <w:rFonts w:ascii="Times New Roman" w:hAnsi="Times New Roman" w:eastAsia="Times New Roman" w:cs="Times New Roman"/>
                <w:color w:val="000000"/>
                <w:spacing w:val="-6"/>
                <w:sz w:val="22"/>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 w:type="dxa"/>
            <w:vAlign w:val="center"/>
            <w:textDirection w:val="lrTb"/>
            <w:noWrap/>
          </w:tcPr>
          <w:p>
            <w:pPr>
              <w:ind w:left="114" w:right="0" w:firstLine="0"/>
              <w:spacing w:before="4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经验评价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9" w:type="dxa"/>
            <w:vAlign w:val="top"/>
            <w:textDirection w:val="lrTb"/>
            <w:noWrap/>
          </w:tcPr>
          <w:p>
            <w:pPr>
              <w:ind w:left="143" w:right="0" w:firstLine="0"/>
              <w:spacing w:before="13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2"/>
              </w:rPr>
              <w:t xml:space="preserve">自</w:t>
            </w:r>
            <w:r>
              <w:rPr>
                <w:rFonts w:ascii="Times New Roman" w:hAnsi="Times New Roman" w:eastAsia="Times New Roman" w:cs="Times New Roman"/>
                <w:color w:val="000000"/>
                <w:spacing w:val="-5"/>
                <w:sz w:val="21"/>
              </w:rPr>
              <w:t xml:space="preserve">20</w:t>
            </w:r>
            <w:r>
              <w:rPr>
                <w:rFonts w:ascii="Times New Roman" w:hAnsi="Times New Roman" w:eastAsia="Times New Roman" w:cs="Times New Roman"/>
                <w:color w:val="000000"/>
                <w:spacing w:val="-5"/>
                <w:sz w:val="22"/>
              </w:rPr>
              <w:t xml:space="preserve">22</w:t>
            </w:r>
            <w:r>
              <w:rPr>
                <w:rFonts w:ascii="SimSun" w:hAnsi="SimSun" w:eastAsia="SimSun" w:cs="SimSun"/>
                <w:color w:val="000000"/>
                <w:spacing w:val="-5"/>
                <w:sz w:val="22"/>
              </w:rPr>
              <w:t xml:space="preserve">年</w:t>
            </w:r>
            <w:r>
              <w:rPr>
                <w:rFonts w:ascii="Times New Roman" w:hAnsi="Times New Roman" w:eastAsia="Times New Roman" w:cs="Times New Roman"/>
                <w:color w:val="000000"/>
                <w:spacing w:val="-5"/>
                <w:sz w:val="21"/>
              </w:rPr>
              <w:t xml:space="preserve">1</w:t>
            </w:r>
            <w:r>
              <w:rPr>
                <w:rFonts w:ascii="SimSun" w:hAnsi="SimSun" w:eastAsia="SimSun" w:cs="SimSun"/>
                <w:color w:val="000000"/>
                <w:spacing w:val="-5"/>
                <w:sz w:val="22"/>
              </w:rPr>
              <w:t xml:space="preserve">月</w:t>
            </w:r>
            <w:r>
              <w:rPr>
                <w:rFonts w:ascii="Times New Roman" w:hAnsi="Times New Roman" w:eastAsia="Times New Roman" w:cs="Times New Roman"/>
                <w:color w:val="000000"/>
                <w:spacing w:val="-5"/>
                <w:sz w:val="22"/>
              </w:rPr>
              <w:t xml:space="preserve">1 </w:t>
            </w:r>
            <w:r>
              <w:rPr>
                <w:rFonts w:ascii="SimSun" w:hAnsi="SimSun" w:eastAsia="SimSun" w:cs="SimSun"/>
                <w:color w:val="000000"/>
                <w:spacing w:val="-5"/>
                <w:sz w:val="22"/>
              </w:rPr>
              <w:t xml:space="preserve">日起算，投标人实施过的类似的</w:t>
            </w:r>
            <w:r>
              <w:rPr>
                <w:rFonts w:ascii="SimSun" w:hAnsi="SimSun" w:eastAsia="SimSun" w:cs="SimSun"/>
                <w:color w:val="000000"/>
                <w:spacing w:val="-6"/>
                <w:sz w:val="22"/>
              </w:rPr>
              <w:t xml:space="preserve">电梯项目有一例得</w:t>
            </w:r>
            <w:r>
              <w:rPr>
                <w:rFonts w:ascii="Times New Roman" w:hAnsi="Times New Roman" w:eastAsia="Times New Roman" w:cs="Times New Roman"/>
                <w:color w:val="000000"/>
                <w:spacing w:val="-6"/>
                <w:sz w:val="22"/>
              </w:rPr>
              <w:t xml:space="preserve">2</w:t>
            </w:r>
            <w:r>
              <w:rPr>
                <w:rFonts w:ascii="SimSun" w:hAnsi="SimSun" w:eastAsia="SimSun" w:cs="SimSun"/>
                <w:color w:val="000000"/>
                <w:spacing w:val="-6"/>
                <w:sz w:val="22"/>
              </w:rPr>
              <w:t xml:space="preserve">分，最高得</w:t>
            </w:r>
            <w:r>
              <w:rPr>
                <w:rFonts w:ascii="Times New Roman" w:hAnsi="Times New Roman" w:eastAsia="Times New Roman" w:cs="Times New Roman"/>
                <w:color w:val="000000"/>
                <w:spacing w:val="-1"/>
                <w:sz w:val="22"/>
              </w:rPr>
              <w:t xml:space="preserve">6</w:t>
            </w:r>
            <w:r>
              <w:rPr>
                <w:rFonts w:ascii="SimSun" w:hAnsi="SimSun" w:eastAsia="SimSun" w:cs="SimSun"/>
                <w:color w:val="000000"/>
                <w:spacing w:val="-1"/>
                <w:sz w:val="22"/>
              </w:rPr>
              <w:t xml:space="preserve">分</w:t>
            </w:r>
            <w:r/>
          </w:p>
          <w:p>
            <w:pPr>
              <w:ind w:left="0" w:right="0" w:firstLine="0"/>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（注：须提供合同及监督检验报告复印件或扫描件加盖投标人公章，不提供不得分）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 w:type="dxa"/>
            <w:vAlign w:val="top"/>
            <w:textDirection w:val="lrTb"/>
            <w:noWrap/>
          </w:tcPr>
          <w:p>
            <w:pPr>
              <w:ind w:left="168" w:right="0" w:firstLine="0"/>
              <w:spacing w:before="28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2"/>
              </w:rPr>
              <w:t xml:space="preserve">6</w:t>
            </w:r>
            <w:r>
              <w:rPr>
                <w:rFonts w:ascii="Times New Roman" w:hAnsi="Times New Roman" w:eastAsia="Times New Roman" w:cs="Times New Roman"/>
                <w:color w:val="000000"/>
                <w:spacing w:val="-3"/>
                <w:sz w:val="21"/>
              </w:rPr>
              <w:t xml:space="preserve">.0</w:t>
            </w:r>
            <w:r/>
          </w:p>
        </w:tc>
      </w:tr>
      <w:tr>
        <w:trPr>
          <w:trHeight w:val="8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 w:type="dxa"/>
            <w:vAlign w:val="top"/>
            <w:textDirection w:val="lrTb"/>
            <w:noWrap/>
          </w:tcPr>
          <w:p>
            <w:pPr>
              <w:ind w:left="143" w:right="0" w:firstLine="0"/>
              <w:spacing w:before="28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2"/>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商能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力评价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1.投标人具有质量管理体系认证，得</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2.投标人具有环境管理体系认证，得</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3.投标人具有职业健康安全管理体系认证证书，得</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(注：须提供有效期内证书复印件或扫描件，认证范围与本项目相适应。以上证明材料应加盖投标人公章，未按要求提供不得分。）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 w:type="dxa"/>
            <w:vAlign w:val="top"/>
            <w:textDirection w:val="lrTb"/>
            <w:noWrap/>
          </w:tcPr>
          <w:p>
            <w:pPr>
              <w:ind w:left="168" w:right="0" w:firstLine="0"/>
              <w:spacing w:before="28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2"/>
              </w:rPr>
              <w:t xml:space="preserve">6.0</w:t>
            </w:r>
            <w:r/>
          </w:p>
        </w:tc>
      </w:tr>
      <w:tr>
        <w:trPr>
          <w:trHeight w:val="4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 w:type="dxa"/>
            <w:vAlign w:val="center"/>
            <w:textDirection w:val="lrTb"/>
            <w:noWrap/>
          </w:tcPr>
          <w:p>
            <w:pPr>
              <w:ind w:left="143" w:right="0" w:firstLine="0"/>
              <w:jc w:val="both"/>
              <w:spacing w:before="68"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2"/>
              </w:rPr>
              <w:t xml:space="preserve">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 w:type="dxa"/>
            <w:vAlign w:val="center"/>
            <w:textDirection w:val="lrTb"/>
            <w:noWrap/>
          </w:tcPr>
          <w:p>
            <w:pPr>
              <w:ind w:left="181"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节能评价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9" w:type="dxa"/>
            <w:vAlign w:val="top"/>
            <w:textDirection w:val="lrTb"/>
            <w:noWrap/>
          </w:tcPr>
          <w:p>
            <w:pPr>
              <w:ind w:left="114" w:right="0" w:firstLine="0"/>
              <w:spacing w:before="4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所投乘客电梯型号产品（须与投标整梯型式试验报告的型号一致）通过能效等级认证，达到认证等级</w:t>
            </w: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分（须提供有效期内证书</w:t>
            </w:r>
            <w:r>
              <w:rPr>
                <w:rFonts w:ascii="SimSun" w:hAnsi="SimSun" w:eastAsia="SimSun" w:cs="SimSun"/>
                <w:color w:val="000000"/>
                <w:spacing w:val="-1"/>
                <w:sz w:val="22"/>
              </w:rPr>
              <w:t xml:space="preserve">扫描件或复印件加盖投标人公章，不提供不得分。</w:t>
            </w: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 w:type="dxa"/>
            <w:vAlign w:val="center"/>
            <w:textDirection w:val="lrTb"/>
            <w:noWrap/>
          </w:tcPr>
          <w:p>
            <w:pPr>
              <w:ind w:left="169" w:right="0" w:firstLine="0"/>
              <w:jc w:val="both"/>
              <w:spacing w:before="68"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2"/>
              </w:rPr>
              <w:t xml:space="preserve">1.0</w:t>
            </w:r>
            <w:r/>
          </w:p>
        </w:tc>
      </w:tr>
      <w:tr>
        <w:trPr>
          <w:trHeight w:val="4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 w:type="dxa"/>
            <w:vAlign w:val="center"/>
            <w:textDirection w:val="lrTb"/>
            <w:noWrap/>
          </w:tcPr>
          <w:p>
            <w:pPr>
              <w:ind w:left="143" w:right="0" w:firstLine="0"/>
              <w:jc w:val="both"/>
              <w:spacing w:before="68"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2"/>
              </w:rPr>
              <w:t xml:space="preserve">1.7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 w:type="dxa"/>
            <w:vAlign w:val="center"/>
            <w:textDirection w:val="lrTb"/>
            <w:noWrap/>
          </w:tcPr>
          <w:p>
            <w:pPr>
              <w:ind w:left="181"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环保评价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9" w:type="dxa"/>
            <w:vAlign w:val="top"/>
            <w:textDirection w:val="lrTb"/>
            <w:noWrap/>
          </w:tcPr>
          <w:p>
            <w:pPr>
              <w:ind w:left="114" w:right="0" w:firstLine="0"/>
              <w:spacing w:before="4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投标产品属于财政部、生态环境部公布的“环境标志产品品目清单”范围内的，投标人或产品生厂商提供国家确定的认证机构出具的、处于有效期内的该环保产品认证证书的，得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w:t>
            </w:r>
            <w:r/>
          </w:p>
          <w:p>
            <w:pPr>
              <w:ind w:left="114" w:right="0" w:firstLine="0"/>
              <w:spacing w:before="4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注：投标人或产品生厂商须提供认证证书原件扫描件及在全国认证认可信息公共服务平台查询为有效截图，加盖投标人公章，未提供的不得分。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 w:type="dxa"/>
            <w:vAlign w:val="center"/>
            <w:textDirection w:val="lrTb"/>
            <w:noWrap/>
          </w:tcPr>
          <w:p>
            <w:pPr>
              <w:ind w:left="169" w:right="0" w:firstLine="0"/>
              <w:jc w:val="both"/>
              <w:spacing w:before="68"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2"/>
              </w:rPr>
              <w:t xml:space="preserve">1.0</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（三）价格评估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8"/>
        <w:gridCol w:w="231"/>
        <w:gridCol w:w="8675"/>
        <w:gridCol w:w="175"/>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86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0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86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综合评分法中的价格分采用低价优先法计算，即满足招标文件要求且投标价格最低的投标报价为评标基准价，其价格分为满分3</w:t>
            </w:r>
            <w:r>
              <w:rPr>
                <w:rFonts w:ascii="SimSun" w:hAnsi="SimSun" w:eastAsia="SimSun" w:cs="SimSun"/>
                <w:color w:val="000000"/>
                <w:sz w:val="22"/>
              </w:rPr>
              <w:t xml:space="preserve">0 分。其他投标人的价格分统一按照下列公式计算：投标报价得分= (评标基准价／投标报价)×30。(四舍五入后保留2位小数)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根据财政部、工信部《政府采购促进中小企业发展管理办法》以及丹财〔2022〕128号《丹阳市关于进一步加大政府采购支持中小企业力度的通知》的规定：提供的货物全部由符合政策要求的小微企业制造，对其价格给予10%的调减，以调减后的价格计算价格分。《中小企业声明函》填写格式见第五部分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根据《财政部</w:t>
            </w:r>
            <w:r>
              <w:rPr>
                <w:rFonts w:ascii="SimSun" w:hAnsi="SimSun" w:eastAsia="SimSun" w:cs="SimSun"/>
                <w:color w:val="000000"/>
                <w:sz w:val="21"/>
              </w:rPr>
              <w:t xml:space="preserve"> </w:t>
            </w:r>
            <w:r>
              <w:rPr>
                <w:rFonts w:ascii="SimSun" w:hAnsi="SimSun" w:eastAsia="SimSun" w:cs="SimSun"/>
                <w:color w:val="000000"/>
                <w:sz w:val="22"/>
              </w:rPr>
              <w:t xml:space="preserve">司法部关于政府采购支持监狱企业发展有关问题的通知》（财库〔2014〕68号）要求，监狱和戒毒企业视同小型、微型企业，享受与小型、微型企业产品价格同比例扣除的优惠政策。监狱和戒毒企业应当提供由省级以上监狱管理中心、戒毒管理中心（含新疆生产建设兵团）出具的属于监狱企业的有效证明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9.相同品牌产品的处理原则</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9.1非单一产品采购项目，采购人应当根据采购项目技术构成、产品价格比重等合理确定核心产品。本项目核心产品见投标人须知前附表。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w:t>
      </w:r>
      <w:r>
        <w:rPr>
          <w:rFonts w:ascii="SimSun" w:hAnsi="SimSun" w:eastAsia="SimSun" w:cs="SimSun"/>
          <w:color w:val="000000"/>
          <w:sz w:val="24"/>
        </w:rPr>
        <w:t xml:space="preserve">购人或者采购人委托评标委员会按照招标文件规定的方式确定一个参加评标的投标人，招标文件未规定的采取随机抽取方式确定，其他投标无效。</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10.允许修改评标结果的情形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10.1评标结果汇总完成后，除下列情形外，任何人不得修改评标结果：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（1）分值汇总计算错误的；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（2）分项评分超出评分标准范围的；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（3）评标委员会成员对客观评审因素评分不一致的；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（4）经评标委员会认定评分畸高、畸低的。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11.推荐中标候选人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第六部分投标文件（格式）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p>
    <w:p>
      <w:pPr>
        <w:ind w:left="52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2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 标 人（公章）：</w:t>
      </w:r>
      <w:r>
        <w:rPr>
          <w:rFonts w:ascii="SimSun" w:hAnsi="SimSun" w:eastAsia="SimSun" w:cs="SimSun"/>
          <w:b/>
          <w:color w:val="000000"/>
          <w:sz w:val="24"/>
          <w:u w:val="single"/>
        </w:rPr>
        <w:t xml:space="preserve">××××</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w:t>
      </w:r>
      <w:r>
        <w:rPr>
          <w:rFonts w:ascii="SimSun" w:hAnsi="SimSun" w:eastAsia="SimSun" w:cs="SimSun"/>
          <w:b/>
          <w:color w:val="000000"/>
          <w:sz w:val="32"/>
        </w:rPr>
        <w:t xml:space="preserve">年</w:t>
      </w:r>
      <w:r>
        <w:rPr>
          <w:rFonts w:ascii="SimSun" w:hAnsi="SimSun" w:eastAsia="SimSun" w:cs="SimSun"/>
          <w:b/>
          <w:color w:val="000000"/>
          <w:sz w:val="24"/>
          <w:u w:val="single"/>
        </w:rPr>
        <w:t xml:space="preserve">××</w:t>
      </w:r>
      <w:r>
        <w:rPr>
          <w:rFonts w:ascii="SimSun" w:hAnsi="SimSun" w:eastAsia="SimSun" w:cs="SimSun"/>
          <w:b/>
          <w:color w:val="000000"/>
          <w:sz w:val="32"/>
        </w:rPr>
        <w:t xml:space="preserve">月</w:t>
      </w:r>
      <w:r>
        <w:rPr>
          <w:rFonts w:ascii="SimSun" w:hAnsi="SimSun" w:eastAsia="SimSun" w:cs="SimSun"/>
          <w:b/>
          <w:color w:val="000000"/>
          <w:sz w:val="24"/>
          <w:u w:val="single"/>
        </w:rPr>
        <w:t xml:space="preserve">××</w:t>
      </w:r>
      <w:r>
        <w:rPr>
          <w:rFonts w:ascii="SimSun" w:hAnsi="SimSun" w:eastAsia="SimSun" w:cs="SimSun"/>
          <w:b/>
          <w:color w:val="000000"/>
          <w:sz w:val="32"/>
        </w:rPr>
        <w:t xml:space="preserve">日</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（一）开标一览表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招标编号：分包号：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38"/>
        <w:gridCol w:w="5094"/>
      </w:tblGrid>
      <w:tr>
        <w:trPr>
          <w:trHeight w:val="900"/>
        </w:trPr>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4138"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投标货物名称</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5094"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 </w:t>
            </w:r>
            <w:r/>
          </w:p>
        </w:tc>
      </w:tr>
      <w:tr>
        <w:trPr>
          <w:trHeight w:val="900"/>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4138"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投标产品名称（项目总报价）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5094"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rHeight w:val="900"/>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4138"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核心产品品牌</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5094"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（二）投标函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致：丹阳市政府采购中心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根据项目自行编辑</w:t>
      </w:r>
      <w:r>
        <w:rPr>
          <w:rFonts w:ascii="SimSun" w:hAnsi="SimSun" w:eastAsia="SimSun" w:cs="SimSun"/>
          <w:color w:val="000000"/>
          <w:sz w:val="24"/>
        </w:rPr>
        <w:t xml:space="preserve">号招标文件，正式授权下述签字人_________________(姓名)代表我方______________（投标人的名称），全权处理本次项目投标的有关事宜。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1.按招标文件规定的各项要求，向招标方提供所需货物与服务。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6.一旦我方中标,我方将根据招标文件的规定，严格履行合同的责任和义务,并保证在招标文件规定的时间完成项目，交付招标方验收、使用。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（三）清单及明细报价表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2"/>
        <w:gridCol w:w="1330"/>
        <w:gridCol w:w="1233"/>
        <w:gridCol w:w="1202"/>
        <w:gridCol w:w="198"/>
        <w:gridCol w:w="1451"/>
        <w:gridCol w:w="1345"/>
        <w:gridCol w:w="2152"/>
      </w:tblGrid>
      <w:tr>
        <w:trPr>
          <w:trHeight w:val="594"/>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一、货物部分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品牌型号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质保期</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2"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2"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2"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货物部分小计：     元</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SimSun" w:hAnsi="SimSun" w:eastAsia="SimSun" w:cs="SimSun"/>
                <w:b/>
                <w:color w:val="000000"/>
                <w:sz w:val="20"/>
              </w:rPr>
              <w:t xml:space="preserve">二、服务部分</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3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价格（元）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备注</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2"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服务部分小计：     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8"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其它相关费用</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4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8"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项目总报价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4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注：</w:t>
      </w:r>
      <w:r>
        <w:rPr>
          <w:rFonts w:ascii="SimSun" w:hAnsi="SimSun" w:eastAsia="SimSun" w:cs="SimSun"/>
          <w:color w:val="000000"/>
          <w:sz w:val="20"/>
        </w:rPr>
        <w:t xml:space="preserve">1、</w:t>
      </w:r>
      <w:r>
        <w:rPr>
          <w:rFonts w:ascii="SimSun" w:hAnsi="SimSun" w:eastAsia="SimSun" w:cs="SimSun"/>
          <w:b/>
          <w:color w:val="000000"/>
          <w:sz w:val="20"/>
          <w:u w:val="single"/>
        </w:rPr>
        <w:t xml:space="preserve">投标人应当按照招标文件采购需求及相关报价要求填写</w:t>
      </w:r>
      <w:r>
        <w:rPr>
          <w:rFonts w:ascii="SimSun" w:hAnsi="SimSun" w:eastAsia="SimSun" w:cs="SimSun"/>
          <w:color w:val="000000"/>
          <w:sz w:val="20"/>
          <w:u w:val="single"/>
        </w:rPr>
        <w:t xml:space="preserve">。</w:t>
      </w:r>
      <w:r/>
    </w:p>
    <w:p>
      <w:pPr>
        <w:ind w:left="-283"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rPr>
          <w:rFonts w:ascii="SimSun" w:hAnsi="SimSun" w:eastAsia="SimSun" w:cs="SimSun"/>
          <w:color w:val="000000"/>
          <w:sz w:val="20"/>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rPr>
          <w:rFonts w:ascii="SimSun" w:hAnsi="SimSun" w:eastAsia="SimSun" w:cs="SimSun"/>
          <w:color w:val="000000"/>
          <w:sz w:val="20"/>
          <w:u w:val="single"/>
        </w:rPr>
        <w:t xml:space="preserve">本表中项目总报价应与开标一览表中项目总报价保持一致。</w:t>
      </w:r>
      <w:r/>
    </w:p>
    <w:p>
      <w:pPr>
        <w:ind w:left="-283"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rPr>
          <w:rFonts w:ascii="SimSun" w:hAnsi="SimSun" w:eastAsia="SimSun" w:cs="SimSun"/>
          <w:color w:val="000000"/>
          <w:sz w:val="20"/>
          <w:u w:val="single"/>
        </w:rPr>
        <w:t xml:space="preserve">报价保留至小数点后两位，四舍五入。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（四）法定代表人身份证明书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rPr>
          <w:rFonts w:ascii="SimSun" w:hAnsi="SimSun" w:eastAsia="SimSun" w:cs="SimSun"/>
          <w:b/>
          <w:color w:val="000000"/>
          <w:sz w:val="24"/>
          <w:u w:val="single"/>
        </w:rPr>
        <w:t xml:space="preserve">×××（）姓名</w:t>
      </w:r>
      <w:r>
        <w:rPr>
          <w:rFonts w:ascii="SimSun" w:hAnsi="SimSun" w:eastAsia="SimSun" w:cs="SimSun"/>
          <w:color w:val="000000"/>
          <w:sz w:val="24"/>
        </w:rPr>
        <w:t xml:space="preserve">同志，性别</w:t>
      </w:r>
      <w:r>
        <w:rPr>
          <w:rFonts w:ascii="SimSun" w:hAnsi="SimSun" w:eastAsia="SimSun" w:cs="SimSun"/>
          <w:b/>
          <w:color w:val="000000"/>
          <w:sz w:val="24"/>
          <w:u w:val="single"/>
        </w:rPr>
        <w:t xml:space="preserve">×××</w:t>
      </w:r>
      <w:r>
        <w:rPr>
          <w:rFonts w:ascii="SimSun" w:hAnsi="SimSun" w:eastAsia="SimSun" w:cs="SimSun"/>
          <w:color w:val="000000"/>
          <w:sz w:val="24"/>
        </w:rPr>
        <w:t xml:space="preserve">，居民身份证号</w:t>
      </w:r>
      <w:r>
        <w:rPr>
          <w:rFonts w:ascii="SimSun" w:hAnsi="SimSun" w:eastAsia="SimSun" w:cs="SimSun"/>
          <w:b/>
          <w:color w:val="000000"/>
          <w:sz w:val="24"/>
          <w:u w:val="single"/>
        </w:rPr>
        <w:t xml:space="preserve">×××</w:t>
      </w:r>
      <w:r>
        <w:rPr>
          <w:rFonts w:ascii="SimSun" w:hAnsi="SimSun" w:eastAsia="SimSun" w:cs="SimSun"/>
          <w:color w:val="000000"/>
          <w:sz w:val="24"/>
        </w:rPr>
        <w:t xml:space="preserve">，在我单位任职务，系我单位主要负责人即法定代表人。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单位全称：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公章： </w:t>
      </w:r>
      <w:r/>
    </w:p>
    <w:p>
      <w:pPr>
        <w:ind w:left="0" w:right="0" w:firstLine="480"/>
        <w:jc w:val="both"/>
        <w:spacing w:before="0" w:after="0"/>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附：法定代表人居民身份证扫描件</w:t>
      </w:r>
      <w:r/>
    </w:p>
    <w:p>
      <w:pPr>
        <w:ind w:left="0" w:right="0" w:firstLine="480"/>
        <w:jc w:val="both"/>
        <w:spacing w:before="0" w:after="0"/>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注：1.“法定代表人”直接参加投标响应活动的仅需填写本身份证明</w:t>
      </w:r>
      <w:r>
        <w:rPr>
          <w:rFonts w:ascii="SimSun" w:hAnsi="SimSun" w:eastAsia="SimSun" w:cs="SimSun"/>
          <w:color w:val="000000"/>
          <w:sz w:val="24"/>
        </w:rPr>
        <w:t xml:space="preserve">。</w:t>
      </w:r>
      <w:r/>
    </w:p>
    <w:p>
      <w:pPr>
        <w:numPr>
          <w:ilvl w:val="0"/>
          <w:numId w:val="7"/>
        </w:numPr>
        <w:jc w:val="both"/>
        <w:spacing w:before="0" w:after="0"/>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投标人属于非法人组织的，按照法律、行政法规规定能够对外代表其从事民事活动的主要负责人，视同法定代表人。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56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（五）法定代表人授权委托书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一、资格条件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（三）有依法缴纳税收和社会保障资金的良好记录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（五）参加政府采购活动前3年内在经营活动中没有重大违法记录的书面声明。</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（六）落实政府采购政策需满足的资格要求：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（七）资格承诺函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资格承诺函</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___________（采购人、采购代理机构）</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我单位参与</w:t>
      </w:r>
      <w:r>
        <w:rPr>
          <w:rFonts w:ascii="SimSun" w:hAnsi="SimSun" w:eastAsia="SimSun" w:cs="SimSun"/>
          <w:color w:val="000000"/>
          <w:sz w:val="24"/>
          <w:u w:val="single"/>
        </w:rPr>
        <w:t xml:space="preserve">______________（项目名称）______________（项目编号）</w:t>
      </w:r>
      <w:r>
        <w:rPr>
          <w:rFonts w:ascii="SimSun" w:hAnsi="SimSun" w:eastAsia="SimSun" w:cs="SimSun"/>
          <w:color w:val="000000"/>
          <w:sz w:val="24"/>
        </w:rPr>
        <w:t xml:space="preserve">项目的政府采购活动，现承诺如下：</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1.我方具有良好的商业信誉和健全的财务会计制度。</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2.我方具有履行合同所必需的设备和专业技术能力。</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3.我方具有依法缴纳税收和社会保障资金的良好记录。</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4.我方参加本项目采购活动前三年内，在经营活动中没有重大违法记录。</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若我单位承诺不实，自愿承担提供虚假材料谋取中标、成交的法律责任。</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投标（响应）供应商（全称并盖章）：</w:t>
      </w:r>
      <w:r>
        <w:rPr>
          <w:rFonts w:ascii="SimSun" w:hAnsi="SimSun" w:eastAsia="SimSun" w:cs="SimSun"/>
          <w:color w:val="000000"/>
          <w:sz w:val="24"/>
          <w:u w:val="single"/>
        </w:rPr>
        <w:t xml:space="preserve">___________</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供应商法定代表人或授权代表（签字或签章）：</w:t>
      </w:r>
      <w:r>
        <w:rPr>
          <w:rFonts w:ascii="SimSun" w:hAnsi="SimSun" w:eastAsia="SimSun" w:cs="SimSun"/>
          <w:color w:val="000000"/>
          <w:sz w:val="24"/>
          <w:u w:val="single"/>
        </w:rPr>
        <w:t xml:space="preserve">___________</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___________</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说明：1.供应商可自行选择是否提供本承诺函，若不提供本承诺函的，应按采购文件要求提供相应的证明材料。</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2.供应商可删减承诺事项，删减的承诺事项须按采购文件要求提供相应的证明材料。比如删去本承诺函第3项的，则应按采购文件要求提供依法缴纳税收和社会保障资金的良好记录。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（八）本项目特定资格条件：</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二、符合条件</w:t>
      </w:r>
      <w:r/>
    </w:p>
    <w:p>
      <w:pPr>
        <w:ind w:left="0" w:right="0" w:firstLine="3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（一）投标报价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（二）商务要求响应</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注：针对采购需求部分商务部分逐条响应。行数不够，可自行添加。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（三）技术要求响应</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技术响应及偏离表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7"/>
        <w:gridCol w:w="1278"/>
        <w:gridCol w:w="1879"/>
        <w:gridCol w:w="1914"/>
        <w:gridCol w:w="1302"/>
        <w:gridCol w:w="17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名称及型号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投标实际参数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1、“偏离”系指“正偏离”、“负偏离”或“无偏离”。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2、投标人应逐一说明投标货物技术参数和偏离情况，如直接拷贝或简单复制招标文件技术要求的，技术参数响应情况评分按得零分处理。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3、投标人在《技术要求响应及偏离表》中须如实表述产品技术性能，虚构产品技术参数的，将视为虚假应标，按照无效投标处理。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4、行数不够可自行添加。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5、相关证明材料附后。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numPr>
          <w:ilvl w:val="0"/>
          <w:numId w:val="8"/>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综合评审评分项</w:t>
      </w:r>
      <w:r/>
    </w:p>
    <w:p>
      <w:pPr>
        <w:ind w:left="0" w:right="0" w:firstLine="417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（与评审因素对应）</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341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四</w:t>
      </w:r>
      <w:r>
        <w:rPr>
          <w:rFonts w:ascii="SimSun" w:hAnsi="SimSun" w:eastAsia="SimSun" w:cs="SimSun"/>
          <w:b/>
          <w:color w:val="000000"/>
          <w:sz w:val="30"/>
        </w:rPr>
        <w:t xml:space="preserve">、其他部分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(一)中小企业声明函</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pacing w:val="6"/>
          <w:sz w:val="24"/>
        </w:rPr>
        <w:t xml:space="preserve">本公司（联合体）郑重声明，根据《政府采购促进中小企业发展管理办法》（财库﹝2020﹞46 号）的规定，本公司（联合体）参加</w:t>
      </w:r>
      <w:r>
        <w:rPr>
          <w:rFonts w:ascii="SimSun" w:hAnsi="SimSun" w:eastAsia="SimSun" w:cs="SimSun"/>
          <w:color w:val="000000"/>
          <w:spacing w:val="6"/>
          <w:sz w:val="24"/>
          <w:u w:val="single"/>
        </w:rPr>
        <w:t xml:space="preserve">（单位名称）</w:t>
      </w:r>
      <w:r>
        <w:rPr>
          <w:rFonts w:ascii="SimSun" w:hAnsi="SimSun" w:eastAsia="SimSun" w:cs="SimSun"/>
          <w:color w:val="000000"/>
          <w:spacing w:val="6"/>
          <w:sz w:val="24"/>
        </w:rPr>
        <w:t xml:space="preserve">的</w:t>
      </w:r>
      <w:r>
        <w:rPr>
          <w:rFonts w:ascii="SimSun" w:hAnsi="SimSun" w:eastAsia="SimSun" w:cs="SimSun"/>
          <w:color w:val="000000"/>
          <w:spacing w:val="6"/>
          <w:sz w:val="24"/>
          <w:u w:val="single"/>
        </w:rPr>
        <w:t xml:space="preserve">（项目名称）</w:t>
      </w:r>
      <w:r>
        <w:rPr>
          <w:rFonts w:ascii="SimSun" w:hAnsi="SimSun" w:eastAsia="SimSun" w:cs="SimSun"/>
          <w:color w:val="000000"/>
          <w:spacing w:val="6"/>
          <w:sz w:val="24"/>
        </w:rPr>
        <w:t xml:space="preserve">采购活动，提供的货物全部由符合政策要求的中小企业制造。相关企业（含联合体中的中小企业、签订分包意向协议的中小企业）的具体情况如下：  </w:t>
      </w:r>
      <w:r/>
    </w:p>
    <w:p>
      <w:pPr>
        <w:ind w:left="0" w:right="0" w:firstLine="5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行业；制造商为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人，营业收入为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万元，资产总额为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  </w:t>
      </w:r>
      <w:r/>
    </w:p>
    <w:p>
      <w:pPr>
        <w:ind w:left="0" w:right="0" w:firstLine="5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w:t>
      </w:r>
      <w:r>
        <w:rPr>
          <w:rFonts w:ascii="SimSun" w:hAnsi="SimSun" w:eastAsia="SimSun" w:cs="SimSun"/>
          <w:color w:val="000000"/>
          <w:spacing w:val="6"/>
          <w:sz w:val="24"/>
          <w:u w:val="single"/>
        </w:rPr>
        <w:t xml:space="preserve"> （标的名称）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行业；制造商为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人，营业收入为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万元，资产总额为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w:t>
      </w:r>
      <w:r/>
    </w:p>
    <w:p>
      <w:pPr>
        <w:ind w:left="0" w:right="0" w:firstLine="5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  </w:t>
      </w:r>
      <w:r/>
    </w:p>
    <w:p>
      <w:pPr>
        <w:ind w:left="0" w:right="0" w:firstLine="584"/>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84"/>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  </w:t>
      </w:r>
      <w:r/>
    </w:p>
    <w:p>
      <w:pPr>
        <w:ind w:left="0" w:right="0" w:firstLine="584"/>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企业名称（盖章）：  </w:t>
      </w:r>
      <w:r/>
    </w:p>
    <w:p>
      <w:pPr>
        <w:ind w:left="0" w:right="0" w:firstLine="584"/>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 期：</w:t>
      </w:r>
      <w:r/>
    </w:p>
    <w:p>
      <w:pPr>
        <w:ind w:left="0" w:right="0" w:firstLine="5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注：从业人员、营业收入、资产总额填报上一年度数据，无上一年度数据的新成立企业可不填报。友情提醒：供应商应按照所投报货物实际情况如实填写该声明函，在货物采购项目中，供应商提供的货物既有中小企业制造货物，也有大型企业制造货物的，不享受中小企业扶持政策，无需填写该声明函。</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（二）残疾人福利性单位声明函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（备注：1、供应商如不提供此声明函，价格将不做相应扣除。2、成交供应商为残疾人福利单位的，此声明函将随成交结果同时公告，接受社会监督）</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rPr>
          <w:rFonts w:ascii="SimSun" w:hAnsi="SimSun" w:eastAsia="SimSun" w:cs="SimSun"/>
          <w:color w:val="000000"/>
          <w:sz w:val="24"/>
        </w:rPr>
        <w:t xml:space="preserve">供应商全称（加盖CA电子公章）：</w:t>
      </w:r>
      <w:r/>
    </w:p>
    <w:p>
      <w:pPr>
        <w:ind w:left="0" w:right="156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9"/>
        </w:numPr>
        <w:jc w:val="cente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按招标文件要求供应商所能提供的其他文件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16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imHei">
    <w:panose1 w:val="02010609060101010101"/>
  </w:font>
  <w:font w:name="Segoe UI Symbol">
    <w:panose1 w:val="020B0502040204020203"/>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王东</cp:lastModifiedBy>
  <cp:revision>1</cp:revision>
  <dcterms:created xsi:type="dcterms:W3CDTF">2026-04-09T02:01:36Z</dcterms:created>
  <dcterms:modified xsi:type="dcterms:W3CDTF">2026-04-10T02:18:38Z</dcterms:modified>
</cp:coreProperties>
</file>